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98" w:rsidRPr="00AE4D98" w:rsidRDefault="00AE4D98" w:rsidP="00AE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ayout w:type="fixed"/>
        <w:tblLook w:val="01E0" w:firstRow="1" w:lastRow="1" w:firstColumn="1" w:lastColumn="1" w:noHBand="0" w:noVBand="0"/>
      </w:tblPr>
      <w:tblGrid>
        <w:gridCol w:w="9720"/>
      </w:tblGrid>
      <w:tr w:rsidR="00AE4D98" w:rsidRPr="00AE4D98" w:rsidTr="003A47CD">
        <w:tc>
          <w:tcPr>
            <w:tcW w:w="9720" w:type="dxa"/>
            <w:shd w:val="clear" w:color="auto" w:fill="CC99FF"/>
          </w:tcPr>
          <w:p w:rsidR="00AE4D98" w:rsidRPr="00AE4D98" w:rsidRDefault="00AE4D98" w:rsidP="00AE4D98">
            <w:pPr>
              <w:tabs>
                <w:tab w:val="left" w:pos="900"/>
              </w:tabs>
              <w:spacing w:before="360" w:after="120" w:line="240" w:lineRule="auto"/>
              <w:ind w:left="1077"/>
              <w:outlineLvl w:val="1"/>
              <w:rPr>
                <w:rFonts w:ascii="Bookman Old Style" w:eastAsia="Times New Roman" w:hAnsi="Bookman Old Style" w:cs="Times New Roman"/>
                <w:b/>
                <w:bCs/>
                <w:iCs/>
                <w:smallCaps/>
                <w:color w:val="000099"/>
                <w:kern w:val="28"/>
                <w:sz w:val="26"/>
                <w:szCs w:val="26"/>
                <w:lang w:eastAsia="ru-RU"/>
              </w:rPr>
            </w:pPr>
            <w:r w:rsidRPr="00AE4D98">
              <w:rPr>
                <w:rFonts w:ascii="Bookman Old Style" w:eastAsia="Times New Roman" w:hAnsi="Bookman Old Style" w:cs="Times New Roman"/>
                <w:b/>
                <w:bCs/>
                <w:iCs/>
                <w:smallCaps/>
                <w:color w:val="000099"/>
                <w:kern w:val="28"/>
                <w:sz w:val="26"/>
                <w:szCs w:val="26"/>
                <w:lang w:eastAsia="ru-RU"/>
              </w:rPr>
              <w:t>Стоимость услуг оценки</w:t>
            </w:r>
          </w:p>
          <w:tbl>
            <w:tblPr>
              <w:tblW w:w="490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27"/>
              <w:gridCol w:w="1430"/>
              <w:gridCol w:w="2741"/>
              <w:gridCol w:w="2816"/>
            </w:tblGrid>
            <w:tr w:rsidR="00AE4D98" w:rsidRPr="00AE4D98" w:rsidTr="003A47CD">
              <w:trPr>
                <w:cantSplit/>
                <w:trHeight w:val="23"/>
                <w:tblHeader/>
                <w:jc w:val="center"/>
              </w:trPr>
              <w:tc>
                <w:tcPr>
                  <w:tcW w:w="2327" w:type="dxa"/>
                  <w:shd w:val="clear" w:color="auto" w:fill="EAEAEA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  <w:t>Объект оценки</w:t>
                  </w:r>
                </w:p>
              </w:tc>
              <w:tc>
                <w:tcPr>
                  <w:tcW w:w="1430" w:type="dxa"/>
                  <w:shd w:val="clear" w:color="auto" w:fill="EAEAEA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741" w:type="dxa"/>
                  <w:shd w:val="clear" w:color="auto" w:fill="EAEAEA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2816" w:type="dxa"/>
                  <w:shd w:val="clear" w:color="auto" w:fill="EAEAEA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b/>
                      <w:color w:val="000099"/>
                      <w:sz w:val="20"/>
                      <w:szCs w:val="20"/>
                      <w:lang w:eastAsia="ru-RU"/>
                    </w:rPr>
                    <w:t>Стоимость услуги</w:t>
                  </w:r>
                </w:p>
              </w:tc>
            </w:tr>
            <w:tr w:rsidR="00AE4D98" w:rsidRPr="00AE4D98" w:rsidTr="003A47CD">
              <w:trPr>
                <w:cantSplit/>
                <w:trHeight w:val="23"/>
                <w:jc w:val="center"/>
              </w:trPr>
              <w:tc>
                <w:tcPr>
                  <w:tcW w:w="2327" w:type="dxa"/>
                  <w:vMerge w:val="restart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Серийное технологическое оборудование</w:t>
                  </w:r>
                </w:p>
              </w:tc>
              <w:tc>
                <w:tcPr>
                  <w:tcW w:w="1430" w:type="dxa"/>
                  <w:vMerge w:val="restart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Отчет</w:t>
                  </w:r>
                </w:p>
              </w:tc>
              <w:tc>
                <w:tcPr>
                  <w:tcW w:w="2741" w:type="dxa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1 до 10 однотипных единиц</w:t>
                  </w:r>
                </w:p>
              </w:tc>
              <w:tc>
                <w:tcPr>
                  <w:tcW w:w="2816" w:type="dxa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5 000р. за отчет + 500р. за каждую дополнительную единицу после первой</w:t>
                  </w:r>
                </w:p>
              </w:tc>
            </w:tr>
            <w:tr w:rsidR="00AE4D98" w:rsidRPr="00AE4D98" w:rsidTr="003A47CD">
              <w:trPr>
                <w:cantSplit/>
                <w:trHeight w:val="23"/>
                <w:jc w:val="center"/>
              </w:trPr>
              <w:tc>
                <w:tcPr>
                  <w:tcW w:w="2327" w:type="dxa"/>
                  <w:vMerge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41" w:type="dxa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10 до 100 однотипных единиц</w:t>
                  </w:r>
                </w:p>
              </w:tc>
              <w:tc>
                <w:tcPr>
                  <w:tcW w:w="2816" w:type="dxa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9 500р</w:t>
                  </w:r>
                  <w:proofErr w:type="gramStart"/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.з</w:t>
                  </w:r>
                  <w:proofErr w:type="gramEnd"/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отчет + 300р за каждую дополнительную единицу после десятой</w:t>
                  </w:r>
                </w:p>
              </w:tc>
            </w:tr>
            <w:tr w:rsidR="00AE4D98" w:rsidRPr="00AE4D98" w:rsidTr="003A47CD">
              <w:trPr>
                <w:cantSplit/>
                <w:trHeight w:val="23"/>
                <w:jc w:val="center"/>
              </w:trPr>
              <w:tc>
                <w:tcPr>
                  <w:tcW w:w="2327" w:type="dxa"/>
                  <w:vMerge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41" w:type="dxa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Более 100 однотипных единиц</w:t>
                  </w:r>
                </w:p>
              </w:tc>
              <w:tc>
                <w:tcPr>
                  <w:tcW w:w="2816" w:type="dxa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36 500р. за отчет + 100р. за каждую дополнительную единицу после сотой</w:t>
                  </w:r>
                </w:p>
              </w:tc>
            </w:tr>
            <w:tr w:rsidR="00AE4D98" w:rsidRPr="00AE4D98" w:rsidTr="003A47CD">
              <w:trPr>
                <w:cantSplit/>
                <w:trHeight w:val="23"/>
                <w:jc w:val="center"/>
              </w:trPr>
              <w:tc>
                <w:tcPr>
                  <w:tcW w:w="2327" w:type="dxa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Специальное оборудование</w:t>
                  </w:r>
                </w:p>
              </w:tc>
              <w:tc>
                <w:tcPr>
                  <w:tcW w:w="1430" w:type="dxa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объект</w:t>
                  </w:r>
                </w:p>
              </w:tc>
              <w:tc>
                <w:tcPr>
                  <w:tcW w:w="2741" w:type="dxa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6" w:type="dxa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10 000</w:t>
                  </w:r>
                </w:p>
              </w:tc>
            </w:tr>
            <w:tr w:rsidR="00AE4D98" w:rsidRPr="00AE4D98" w:rsidTr="003A47CD">
              <w:trPr>
                <w:cantSplit/>
                <w:trHeight w:val="23"/>
                <w:jc w:val="center"/>
              </w:trPr>
              <w:tc>
                <w:tcPr>
                  <w:tcW w:w="2327" w:type="dxa"/>
                  <w:vMerge w:val="restart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Станки</w:t>
                  </w:r>
                </w:p>
              </w:tc>
              <w:tc>
                <w:tcPr>
                  <w:tcW w:w="1430" w:type="dxa"/>
                  <w:vMerge w:val="restart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объект</w:t>
                  </w:r>
                </w:p>
              </w:tc>
              <w:tc>
                <w:tcPr>
                  <w:tcW w:w="2741" w:type="dxa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ручным управлением</w:t>
                  </w:r>
                </w:p>
              </w:tc>
              <w:tc>
                <w:tcPr>
                  <w:tcW w:w="2816" w:type="dxa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10 500</w:t>
                  </w:r>
                </w:p>
              </w:tc>
            </w:tr>
            <w:tr w:rsidR="00AE4D98" w:rsidRPr="00AE4D98" w:rsidTr="003A47CD">
              <w:trPr>
                <w:cantSplit/>
                <w:trHeight w:val="23"/>
                <w:jc w:val="center"/>
              </w:trPr>
              <w:tc>
                <w:tcPr>
                  <w:tcW w:w="2327" w:type="dxa"/>
                  <w:vMerge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41" w:type="dxa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ЧПУ</w:t>
                  </w:r>
                </w:p>
              </w:tc>
              <w:tc>
                <w:tcPr>
                  <w:tcW w:w="2816" w:type="dxa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12 000</w:t>
                  </w:r>
                </w:p>
              </w:tc>
            </w:tr>
            <w:tr w:rsidR="00AE4D98" w:rsidRPr="00AE4D98" w:rsidTr="003A47CD">
              <w:trPr>
                <w:cantSplit/>
                <w:trHeight w:val="23"/>
                <w:jc w:val="center"/>
              </w:trPr>
              <w:tc>
                <w:tcPr>
                  <w:tcW w:w="2327" w:type="dxa"/>
                  <w:vMerge w:val="restart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Технологические линии</w:t>
                  </w:r>
                </w:p>
              </w:tc>
              <w:tc>
                <w:tcPr>
                  <w:tcW w:w="1430" w:type="dxa"/>
                  <w:vMerge w:val="restart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объект</w:t>
                  </w:r>
                </w:p>
              </w:tc>
              <w:tc>
                <w:tcPr>
                  <w:tcW w:w="2741" w:type="dxa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Станочные комплексы</w:t>
                  </w:r>
                </w:p>
              </w:tc>
              <w:tc>
                <w:tcPr>
                  <w:tcW w:w="2816" w:type="dxa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</w:t>
                  </w:r>
                </w:p>
              </w:tc>
            </w:tr>
            <w:tr w:rsidR="00AE4D98" w:rsidRPr="00AE4D98" w:rsidTr="003A47CD">
              <w:trPr>
                <w:cantSplit/>
                <w:trHeight w:val="23"/>
                <w:jc w:val="center"/>
              </w:trPr>
              <w:tc>
                <w:tcPr>
                  <w:tcW w:w="2327" w:type="dxa"/>
                  <w:vMerge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41" w:type="dxa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Универсальные</w:t>
                  </w:r>
                </w:p>
              </w:tc>
              <w:tc>
                <w:tcPr>
                  <w:tcW w:w="2816" w:type="dxa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</w:t>
                  </w:r>
                </w:p>
              </w:tc>
            </w:tr>
            <w:tr w:rsidR="00AE4D98" w:rsidRPr="00AE4D98" w:rsidTr="003A47CD">
              <w:trPr>
                <w:cantSplit/>
                <w:trHeight w:val="23"/>
                <w:jc w:val="center"/>
              </w:trPr>
              <w:tc>
                <w:tcPr>
                  <w:tcW w:w="2327" w:type="dxa"/>
                  <w:vMerge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41" w:type="dxa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Специальные и уникальные</w:t>
                  </w:r>
                </w:p>
              </w:tc>
              <w:tc>
                <w:tcPr>
                  <w:tcW w:w="2816" w:type="dxa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</w:t>
                  </w:r>
                </w:p>
              </w:tc>
            </w:tr>
            <w:tr w:rsidR="00AE4D98" w:rsidRPr="00AE4D98" w:rsidTr="003A47CD">
              <w:trPr>
                <w:cantSplit/>
                <w:trHeight w:val="23"/>
                <w:jc w:val="center"/>
              </w:trPr>
              <w:tc>
                <w:tcPr>
                  <w:tcW w:w="2327" w:type="dxa"/>
                  <w:vMerge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41" w:type="dxa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Технологические комплексы</w:t>
                  </w:r>
                </w:p>
              </w:tc>
              <w:tc>
                <w:tcPr>
                  <w:tcW w:w="2816" w:type="dxa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</w:tr>
            <w:tr w:rsidR="00AE4D98" w:rsidRPr="00AE4D98" w:rsidTr="003A47CD">
              <w:trPr>
                <w:cantSplit/>
                <w:trHeight w:val="23"/>
                <w:jc w:val="center"/>
              </w:trPr>
              <w:tc>
                <w:tcPr>
                  <w:tcW w:w="2327" w:type="dxa"/>
                  <w:vMerge w:val="restart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Оргтехника. Вычислительная техника, средства связи, мебель</w:t>
                  </w:r>
                </w:p>
              </w:tc>
              <w:tc>
                <w:tcPr>
                  <w:tcW w:w="1430" w:type="dxa"/>
                  <w:vMerge w:val="restart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объект</w:t>
                  </w:r>
                </w:p>
              </w:tc>
              <w:tc>
                <w:tcPr>
                  <w:tcW w:w="2741" w:type="dxa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1 до 10 однотипных единиц</w:t>
                  </w:r>
                </w:p>
              </w:tc>
              <w:tc>
                <w:tcPr>
                  <w:tcW w:w="2816" w:type="dxa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3 000 за отчет + 200 за каждую дополнительную единицу после первой</w:t>
                  </w:r>
                </w:p>
              </w:tc>
            </w:tr>
            <w:tr w:rsidR="00AE4D98" w:rsidRPr="00AE4D98" w:rsidTr="003A47CD">
              <w:trPr>
                <w:cantSplit/>
                <w:trHeight w:val="23"/>
                <w:jc w:val="center"/>
              </w:trPr>
              <w:tc>
                <w:tcPr>
                  <w:tcW w:w="2327" w:type="dxa"/>
                  <w:vMerge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41" w:type="dxa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10 до 100 однотипных единиц</w:t>
                  </w:r>
                </w:p>
              </w:tc>
              <w:tc>
                <w:tcPr>
                  <w:tcW w:w="2816" w:type="dxa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4 800 за отчет + 150р за каждую дополнительную единицу после десятой </w:t>
                  </w:r>
                </w:p>
              </w:tc>
            </w:tr>
            <w:tr w:rsidR="00AE4D98" w:rsidRPr="00AE4D98" w:rsidTr="003A47CD">
              <w:trPr>
                <w:cantSplit/>
                <w:trHeight w:val="1090"/>
                <w:jc w:val="center"/>
              </w:trPr>
              <w:tc>
                <w:tcPr>
                  <w:tcW w:w="2327" w:type="dxa"/>
                  <w:vMerge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41" w:type="dxa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Более 100 однотипных единиц</w:t>
                  </w:r>
                </w:p>
              </w:tc>
              <w:tc>
                <w:tcPr>
                  <w:tcW w:w="2816" w:type="dxa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19 650 за отчет + 50 за каждую дополнительную единицу после сотой </w:t>
                  </w:r>
                </w:p>
              </w:tc>
            </w:tr>
            <w:tr w:rsidR="00AE4D98" w:rsidRPr="00AE4D98" w:rsidTr="003A47CD">
              <w:trPr>
                <w:cantSplit/>
                <w:trHeight w:val="23"/>
                <w:jc w:val="center"/>
              </w:trPr>
              <w:tc>
                <w:tcPr>
                  <w:tcW w:w="2327" w:type="dxa"/>
                  <w:vMerge w:val="restart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Оружие</w:t>
                  </w:r>
                </w:p>
              </w:tc>
              <w:tc>
                <w:tcPr>
                  <w:tcW w:w="1430" w:type="dxa"/>
                  <w:vMerge w:val="restart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объект</w:t>
                  </w:r>
                </w:p>
              </w:tc>
              <w:tc>
                <w:tcPr>
                  <w:tcW w:w="2741" w:type="dxa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одно</w:t>
                  </w:r>
                </w:p>
              </w:tc>
              <w:tc>
                <w:tcPr>
                  <w:tcW w:w="2816" w:type="dxa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4 000</w:t>
                  </w:r>
                </w:p>
              </w:tc>
            </w:tr>
            <w:tr w:rsidR="00AE4D98" w:rsidRPr="00AE4D98" w:rsidTr="003A47CD">
              <w:trPr>
                <w:cantSplit/>
                <w:trHeight w:val="23"/>
                <w:jc w:val="center"/>
              </w:trPr>
              <w:tc>
                <w:tcPr>
                  <w:tcW w:w="2327" w:type="dxa"/>
                  <w:vMerge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0" w:type="dxa"/>
                  <w:vMerge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41" w:type="dxa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много</w:t>
                  </w:r>
                </w:p>
              </w:tc>
              <w:tc>
                <w:tcPr>
                  <w:tcW w:w="2816" w:type="dxa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4 000 + 1 000 за каждое следующее после первого</w:t>
                  </w:r>
                </w:p>
              </w:tc>
            </w:tr>
            <w:tr w:rsidR="00AE4D98" w:rsidRPr="00AE4D98" w:rsidTr="003A47CD">
              <w:trPr>
                <w:cantSplit/>
                <w:trHeight w:val="23"/>
                <w:jc w:val="center"/>
              </w:trPr>
              <w:tc>
                <w:tcPr>
                  <w:tcW w:w="2327" w:type="dxa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Акции котируемые</w:t>
                  </w:r>
                </w:p>
              </w:tc>
              <w:tc>
                <w:tcPr>
                  <w:tcW w:w="1430" w:type="dxa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пакет</w:t>
                  </w:r>
                </w:p>
              </w:tc>
              <w:tc>
                <w:tcPr>
                  <w:tcW w:w="2741" w:type="dxa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6" w:type="dxa"/>
                  <w:shd w:val="clear" w:color="auto" w:fill="E6E6E6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</w:tr>
            <w:tr w:rsidR="00AE4D98" w:rsidRPr="00AE4D98" w:rsidTr="003A47CD">
              <w:trPr>
                <w:cantSplit/>
                <w:trHeight w:val="537"/>
                <w:jc w:val="center"/>
              </w:trPr>
              <w:tc>
                <w:tcPr>
                  <w:tcW w:w="2327" w:type="dxa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Акции не котируемые, векселя, облигации</w:t>
                  </w:r>
                </w:p>
              </w:tc>
              <w:tc>
                <w:tcPr>
                  <w:tcW w:w="1430" w:type="dxa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пакет</w:t>
                  </w:r>
                </w:p>
              </w:tc>
              <w:tc>
                <w:tcPr>
                  <w:tcW w:w="2741" w:type="dxa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6" w:type="dxa"/>
                  <w:shd w:val="clear" w:color="auto" w:fill="FFFFFF"/>
                  <w:vAlign w:val="center"/>
                </w:tcPr>
                <w:p w:rsidR="00AE4D98" w:rsidRPr="00AE4D98" w:rsidRDefault="00AE4D98" w:rsidP="00AE4D98">
                  <w:pPr>
                    <w:keepNext/>
                    <w:keepLines/>
                    <w:spacing w:before="40" w:after="40" w:line="240" w:lineRule="auto"/>
                    <w:ind w:left="-57" w:right="-5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4D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6 000</w:t>
                  </w:r>
                </w:p>
              </w:tc>
            </w:tr>
          </w:tbl>
          <w:p w:rsidR="00AE4D98" w:rsidRPr="00AE4D98" w:rsidRDefault="00AE4D98" w:rsidP="00AE4D98">
            <w:pPr>
              <w:tabs>
                <w:tab w:val="left" w:pos="900"/>
              </w:tabs>
              <w:spacing w:before="360" w:after="120" w:line="240" w:lineRule="auto"/>
              <w:ind w:left="1077"/>
              <w:outlineLvl w:val="1"/>
              <w:rPr>
                <w:rFonts w:ascii="Bookman Old Style" w:eastAsia="Times New Roman" w:hAnsi="Bookman Old Style" w:cs="Times New Roman"/>
                <w:b/>
                <w:bCs/>
                <w:iCs/>
                <w:smallCaps/>
                <w:color w:val="000099"/>
                <w:kern w:val="28"/>
                <w:sz w:val="26"/>
                <w:szCs w:val="26"/>
                <w:lang w:eastAsia="ru-RU"/>
              </w:rPr>
            </w:pPr>
          </w:p>
        </w:tc>
      </w:tr>
    </w:tbl>
    <w:p w:rsidR="00AE4D98" w:rsidRPr="00AE4D98" w:rsidRDefault="00AE4D98" w:rsidP="00AE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D98" w:rsidRPr="00AE4D98" w:rsidRDefault="00AE4D98" w:rsidP="00AE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9571"/>
      </w:tblGrid>
      <w:tr w:rsidR="00AE4D98" w:rsidRPr="00AE4D98" w:rsidTr="003A47CD">
        <w:tc>
          <w:tcPr>
            <w:tcW w:w="9571" w:type="dxa"/>
            <w:shd w:val="clear" w:color="auto" w:fill="CC99FF"/>
          </w:tcPr>
          <w:p w:rsidR="00AE4D98" w:rsidRPr="00AE4D98" w:rsidRDefault="00AE4D98" w:rsidP="00AE4D98">
            <w:pPr>
              <w:keepLines/>
              <w:pageBreakBefore/>
              <w:tabs>
                <w:tab w:val="left" w:pos="902"/>
              </w:tabs>
              <w:spacing w:before="240" w:after="480" w:line="240" w:lineRule="auto"/>
              <w:ind w:left="714"/>
              <w:jc w:val="center"/>
              <w:outlineLvl w:val="0"/>
              <w:rPr>
                <w:rFonts w:ascii="Bookman Old Style" w:eastAsia="Times New Roman" w:hAnsi="Bookman Old Style" w:cs="Arial"/>
                <w:b/>
                <w:caps/>
                <w:color w:val="000099"/>
                <w:kern w:val="26"/>
                <w:sz w:val="26"/>
                <w:szCs w:val="26"/>
                <w:lang w:eastAsia="ru-RU"/>
              </w:rPr>
            </w:pPr>
            <w:r w:rsidRPr="00AE4D98">
              <w:rPr>
                <w:rFonts w:ascii="Bookman Old Style" w:eastAsia="Times New Roman" w:hAnsi="Bookman Old Style" w:cs="Arial"/>
                <w:b/>
                <w:caps/>
                <w:color w:val="000099"/>
                <w:kern w:val="26"/>
                <w:sz w:val="26"/>
                <w:szCs w:val="26"/>
                <w:lang w:eastAsia="ru-RU"/>
              </w:rPr>
              <w:lastRenderedPageBreak/>
              <w:t>Оценка оборудования</w:t>
            </w:r>
          </w:p>
          <w:p w:rsidR="00AE4D98" w:rsidRPr="00AE4D98" w:rsidRDefault="00AE4D98" w:rsidP="00AE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оборудования</w:t>
            </w:r>
            <w:r w:rsidRPr="00AE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 в себя оценку стоимости практически всего спектра объектов движимого имущества - станков, приборов, автомобилей, технологических комплексов, поточных линий, силовых агрегатов, оргтехники, мебели, бытовых предметов и прочих объектов, которые относятся к движимому имуществу.</w:t>
            </w:r>
          </w:p>
          <w:p w:rsidR="00AE4D98" w:rsidRPr="00AE4D98" w:rsidRDefault="00AE4D98" w:rsidP="00AE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как объект оценки представляют собой объекты движимого имущества. Их надо отличать от объектов недвижимого имущества. Правовые признаки разграничения указанных видов имущества изложены в статье 130 Гражданского кодекса РФ: «Вещи, не относящиеся к недвижимости, включая деньги и ценные бумаги, признаются движимым имуществом».</w:t>
            </w:r>
          </w:p>
          <w:p w:rsidR="00AE4D98" w:rsidRPr="00AE4D98" w:rsidRDefault="00AE4D98" w:rsidP="00AE4D98">
            <w:pPr>
              <w:keepNext/>
              <w:keepLines/>
              <w:spacing w:before="360" w:after="240" w:line="240" w:lineRule="auto"/>
              <w:ind w:left="567"/>
              <w:outlineLvl w:val="4"/>
              <w:rPr>
                <w:rFonts w:ascii="Bookman Old Style" w:eastAsia="Times New Roman" w:hAnsi="Bookman Old Style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AE4D98">
              <w:rPr>
                <w:rFonts w:ascii="Bookman Old Style" w:eastAsia="Times New Roman" w:hAnsi="Bookman Old Style" w:cs="Times New Roman"/>
                <w:b/>
                <w:color w:val="000099"/>
                <w:sz w:val="24"/>
                <w:szCs w:val="24"/>
                <w:lang w:eastAsia="ru-RU"/>
              </w:rPr>
              <w:t>Оценка оборудования производится в следующих случаях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240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продажа машин и оборудования, которые стали ненужными, недостаточно загруженными, физически или морально устаревшими: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240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 xml:space="preserve">* ликвидация и утилизация машин и оборудования из-за невозможности или нецелесообразности их дальнейшей эксплуатации в результате физического, морального износа, стихийных бедствий и т.д.; 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240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 xml:space="preserve">*  оформление залога под какую-то часть движимого имущества для обеспечения хозяйственных сделок и кредита: 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240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 xml:space="preserve">*  страхование имущества предприятия: 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240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передача машин и оборудования в аренду или лизинг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240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 xml:space="preserve">*  определение налогооблагаемой базы в составе </w:t>
            </w:r>
            <w:proofErr w:type="gramStart"/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основных</w:t>
            </w:r>
            <w:proofErr w:type="gramEnd"/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 xml:space="preserve"> средств для исчисления налога на имущество: 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240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 xml:space="preserve">*  реализация какого-либо инвестиционного проекта; 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240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 xml:space="preserve">*  вклад в уставный капитал; 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240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подтверждение таможенной стоимости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240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 xml:space="preserve">*  банкротство предприятия и вынужденная распродажа его имущества для покрытия долгов кредиторам; 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240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 xml:space="preserve">*  раздел имущества (распада партнерства или раздела корпорации); 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240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постановка на учет безвозмездно полученного имущества;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240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 xml:space="preserve">*  постановка на учет запасных частей от списанного имущества; 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240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 xml:space="preserve">*  переоценка и т.д. 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240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 xml:space="preserve">*  </w:t>
            </w:r>
            <w:proofErr w:type="gramStart"/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подтверждении</w:t>
            </w:r>
            <w:proofErr w:type="gramEnd"/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 xml:space="preserve"> таможенной стоимости, при ввозе оборудования иностранным инвестором для целей взноса в уставной капитал российского юридического лица. </w:t>
            </w:r>
          </w:p>
          <w:p w:rsidR="00AE4D98" w:rsidRPr="00AE4D98" w:rsidRDefault="00AE4D98" w:rsidP="00AE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способ покупки импортных станков, оборудования и технологических линий российскими предприятиями является очень распространенным, поскольку при ввозе промышленного оборудования по этой схеме предприятие освобождается от уплаты</w:t>
            </w:r>
          </w:p>
          <w:p w:rsidR="00AE4D98" w:rsidRPr="00AE4D98" w:rsidRDefault="00AE4D98" w:rsidP="00AE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и всех таможенных пошлин.</w:t>
            </w:r>
          </w:p>
          <w:p w:rsidR="00AE4D98" w:rsidRPr="00AE4D98" w:rsidRDefault="00AE4D98" w:rsidP="00AE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4D98" w:rsidRPr="00AE4D98" w:rsidRDefault="00AE4D98" w:rsidP="00AE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D98" w:rsidRPr="00AE4D98" w:rsidRDefault="00AE4D98" w:rsidP="00AE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D98" w:rsidRPr="00AE4D98" w:rsidRDefault="00AE4D98" w:rsidP="00AE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D98" w:rsidRPr="00AE4D98" w:rsidRDefault="00AE4D98" w:rsidP="00AE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9571"/>
      </w:tblGrid>
      <w:tr w:rsidR="00AE4D98" w:rsidRPr="00AE4D98" w:rsidTr="003A47CD">
        <w:tc>
          <w:tcPr>
            <w:tcW w:w="9571" w:type="dxa"/>
            <w:shd w:val="clear" w:color="auto" w:fill="CC99FF"/>
          </w:tcPr>
          <w:p w:rsidR="00AE4D98" w:rsidRPr="00AE4D98" w:rsidRDefault="00AE4D98" w:rsidP="00AE4D98">
            <w:pPr>
              <w:tabs>
                <w:tab w:val="left" w:pos="900"/>
              </w:tabs>
              <w:spacing w:before="360" w:after="120" w:line="240" w:lineRule="auto"/>
              <w:ind w:left="1077"/>
              <w:outlineLvl w:val="1"/>
              <w:rPr>
                <w:rFonts w:ascii="Bookman Old Style" w:eastAsia="Times New Roman" w:hAnsi="Bookman Old Style" w:cs="Times New Roman"/>
                <w:b/>
                <w:bCs/>
                <w:iCs/>
                <w:smallCaps/>
                <w:color w:val="000099"/>
                <w:kern w:val="28"/>
                <w:sz w:val="26"/>
                <w:szCs w:val="26"/>
                <w:lang w:eastAsia="ru-RU"/>
              </w:rPr>
            </w:pPr>
            <w:r w:rsidRPr="00AE4D98">
              <w:rPr>
                <w:rFonts w:ascii="Bookman Old Style" w:eastAsia="Times New Roman" w:hAnsi="Bookman Old Style" w:cs="Times New Roman"/>
                <w:b/>
                <w:bCs/>
                <w:iCs/>
                <w:smallCaps/>
                <w:color w:val="000099"/>
                <w:kern w:val="28"/>
                <w:sz w:val="26"/>
                <w:szCs w:val="26"/>
                <w:lang w:eastAsia="ru-RU"/>
              </w:rPr>
              <w:lastRenderedPageBreak/>
              <w:t>Особенности оценки оборудования</w:t>
            </w:r>
          </w:p>
          <w:p w:rsidR="00AE4D98" w:rsidRPr="00AE4D98" w:rsidRDefault="00AE4D98" w:rsidP="00AE4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4D98">
              <w:rPr>
                <w:rFonts w:ascii="Times New Roman" w:eastAsia="Times New Roman" w:hAnsi="Times New Roman" w:cs="Times New Roman"/>
                <w:lang w:eastAsia="ru-RU"/>
              </w:rPr>
              <w:t>Цели, которые преследует клиент, заказывая оценку оборудования, должны быть известны оценщику для того, чтобы определить вид стоимости (рыночная, ликвидационная, утилизационная, инвестиционная, страховая, восстановительная, стоимость лома) в зависимости от назначения оценки.</w:t>
            </w:r>
            <w:proofErr w:type="gramEnd"/>
            <w:r w:rsidRPr="00AE4D98">
              <w:rPr>
                <w:rFonts w:ascii="Times New Roman" w:eastAsia="Times New Roman" w:hAnsi="Times New Roman" w:cs="Times New Roman"/>
                <w:lang w:eastAsia="ru-RU"/>
              </w:rPr>
              <w:t xml:space="preserve"> В отдельных случаях заказчик может поставить не одну, а несколько целей оценки, например, для страхования и для реализации какого-либо инвестиционного проекта. Обе эти цели не исключают друг друга, и отдельные процедуры обследования и анализа для этих двух назначений совпадут, но конечные результаты оценки стоимости оборудования, в данном случае страховой и инвестиционной, окажутся разными.</w:t>
            </w:r>
          </w:p>
          <w:p w:rsidR="00AE4D98" w:rsidRPr="00AE4D98" w:rsidRDefault="00AE4D98" w:rsidP="00AE4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D98">
              <w:rPr>
                <w:rFonts w:ascii="Times New Roman" w:eastAsia="Times New Roman" w:hAnsi="Times New Roman" w:cs="Times New Roman"/>
                <w:lang w:eastAsia="ru-RU"/>
              </w:rPr>
              <w:t>Профессиональная оценка стоимости оборудования - важный и зачастую единственный способ определить реальную стоимость активной части основных фондов предприятия. Оценка оборудования осуществляется несколькими методами, в том числе с применением специализированных баз данных, содержащих как ценовую информацию, так и технические параметры.</w:t>
            </w:r>
          </w:p>
          <w:p w:rsidR="00AE4D98" w:rsidRPr="00AE4D98" w:rsidRDefault="00AE4D98" w:rsidP="00AE4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D98">
              <w:rPr>
                <w:rFonts w:ascii="Times New Roman" w:eastAsia="Times New Roman" w:hAnsi="Times New Roman" w:cs="Times New Roman"/>
                <w:lang w:eastAsia="ru-RU"/>
              </w:rPr>
              <w:t>Наш опыт оценки оборудования показывает исключительно важную роль специализации оценщиков по объектам оцениваемого оборудования. Поэтому, наши специалисты имеют не только достаточную финансово-экономическую и специальную оценочную подготовку, но и необходимые инженерные знания в рассматриваемой области, т.е. в области конструкций и устройств машин, технологии производства и правил их эксплуатации.</w:t>
            </w:r>
          </w:p>
          <w:p w:rsidR="00AE4D98" w:rsidRPr="00AE4D98" w:rsidRDefault="00AE4D98" w:rsidP="00AE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4D98" w:rsidRPr="00AE4D98" w:rsidRDefault="00AE4D98" w:rsidP="00AE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E4D98" w:rsidRPr="00AE4D98" w:rsidTr="003A47CD">
        <w:tc>
          <w:tcPr>
            <w:tcW w:w="9571" w:type="dxa"/>
            <w:shd w:val="clear" w:color="auto" w:fill="CC99FF"/>
          </w:tcPr>
          <w:p w:rsidR="00AE4D98" w:rsidRPr="00AE4D98" w:rsidRDefault="00AE4D98" w:rsidP="00AE4D98">
            <w:pPr>
              <w:tabs>
                <w:tab w:val="left" w:pos="900"/>
              </w:tabs>
              <w:spacing w:before="360" w:after="120" w:line="240" w:lineRule="auto"/>
              <w:ind w:left="1077"/>
              <w:outlineLvl w:val="1"/>
              <w:rPr>
                <w:rFonts w:ascii="Bookman Old Style" w:eastAsia="Times New Roman" w:hAnsi="Bookman Old Style" w:cs="Times New Roman"/>
                <w:b/>
                <w:bCs/>
                <w:iCs/>
                <w:smallCaps/>
                <w:color w:val="000099"/>
                <w:kern w:val="28"/>
                <w:sz w:val="26"/>
                <w:szCs w:val="26"/>
                <w:lang w:eastAsia="ru-RU"/>
              </w:rPr>
            </w:pPr>
            <w:r w:rsidRPr="00AE4D98">
              <w:rPr>
                <w:rFonts w:ascii="Bookman Old Style" w:eastAsia="Times New Roman" w:hAnsi="Bookman Old Style" w:cs="Times New Roman"/>
                <w:b/>
                <w:bCs/>
                <w:iCs/>
                <w:smallCaps/>
                <w:color w:val="000099"/>
                <w:kern w:val="28"/>
                <w:sz w:val="26"/>
                <w:szCs w:val="26"/>
                <w:lang w:eastAsia="ru-RU"/>
              </w:rPr>
              <w:t>Документы для оценки оборудования</w:t>
            </w:r>
          </w:p>
          <w:p w:rsidR="00AE4D98" w:rsidRPr="00AE4D98" w:rsidRDefault="00AE4D98" w:rsidP="00AE4D98">
            <w:pPr>
              <w:keepNext/>
              <w:keepLines/>
              <w:tabs>
                <w:tab w:val="left" w:pos="1077"/>
                <w:tab w:val="left" w:pos="1304"/>
              </w:tabs>
              <w:spacing w:before="480" w:after="360" w:line="240" w:lineRule="auto"/>
              <w:ind w:left="720"/>
              <w:outlineLvl w:val="2"/>
              <w:rPr>
                <w:rFonts w:ascii="Bookman Old Style" w:eastAsia="Times New Roman" w:hAnsi="Bookman Old Style" w:cs="Times New Roman"/>
                <w:b/>
                <w:color w:val="000099"/>
                <w:sz w:val="26"/>
                <w:szCs w:val="26"/>
                <w:lang w:eastAsia="ru-RU"/>
              </w:rPr>
            </w:pPr>
            <w:r w:rsidRPr="00AE4D98">
              <w:rPr>
                <w:rFonts w:ascii="Bookman Old Style" w:eastAsia="Times New Roman" w:hAnsi="Bookman Old Style" w:cs="Times New Roman"/>
                <w:b/>
                <w:color w:val="000099"/>
                <w:sz w:val="26"/>
                <w:szCs w:val="26"/>
                <w:lang w:eastAsia="ru-RU"/>
              </w:rPr>
              <w:t>Общий случай оценки оборудования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 xml:space="preserve">В общем случае для оценки машин и оборудования </w:t>
            </w:r>
            <w:proofErr w:type="gramStart"/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>предоставляются следующие документы</w:t>
            </w:r>
            <w:proofErr w:type="gramEnd"/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>: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>1.  Копии договоров на покупку (поставку) оборудования;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>2.  Наименование каждой единицы;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>3.  Марка (модель, серия);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>4.  Страна-изготовитель;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>5.  Фирма-изготовитель;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>6.  Год выпуска;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>7.  Назначение;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 xml:space="preserve">8.  </w:t>
            </w:r>
            <w:proofErr w:type="gramStart"/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>Основные технические характеристики (производительность, грузоподъёмность, мощность, масса, размеры, пробег и др. согласно технической документации);</w:t>
            </w:r>
            <w:proofErr w:type="gramEnd"/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 xml:space="preserve">9.  Интенсивность эксплуатации (возможные варианты): 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 xml:space="preserve">  *  не эксплуатировалось;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 xml:space="preserve">  *  эксплуатировалось на неполную проектную мощность, были длительные простои; 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 xml:space="preserve">  *  эксплуатировалось на полную проектную мощность;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>10. Состояние и данные о ремонтах: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 xml:space="preserve">  *  требуется монтаж и пусконаладочные работы;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 xml:space="preserve">  * рабочее, ремонт и обслуживание не требуются;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 xml:space="preserve">  *  </w:t>
            </w:r>
            <w:proofErr w:type="gramStart"/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>рабочее</w:t>
            </w:r>
            <w:proofErr w:type="gramEnd"/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>, требуется мелкий ремонт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 xml:space="preserve">  *  </w:t>
            </w:r>
            <w:proofErr w:type="gramStart"/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>нерабочее</w:t>
            </w:r>
            <w:proofErr w:type="gramEnd"/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>, требуется крупный ремонт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 xml:space="preserve">  *  нерабочее, восстановление невозможно или нецелесообразно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lang w:eastAsia="ru-RU"/>
              </w:rPr>
              <w:t>11.  Инвентарный номер, полная и остаточная балансовая стоимость на последнюю отчетную дату перед датой оценки (если собственник объекта - юридическое лицо).</w:t>
            </w:r>
          </w:p>
        </w:tc>
      </w:tr>
      <w:tr w:rsidR="00AE4D98" w:rsidRPr="00AE4D98" w:rsidTr="003A47CD">
        <w:tc>
          <w:tcPr>
            <w:tcW w:w="9571" w:type="dxa"/>
            <w:shd w:val="clear" w:color="auto" w:fill="CC99FF"/>
          </w:tcPr>
          <w:p w:rsidR="00AE4D98" w:rsidRPr="00AE4D98" w:rsidRDefault="00AE4D98" w:rsidP="00AE4D98">
            <w:pPr>
              <w:keepNext/>
              <w:keepLines/>
              <w:tabs>
                <w:tab w:val="left" w:pos="1077"/>
                <w:tab w:val="left" w:pos="1304"/>
              </w:tabs>
              <w:spacing w:before="480" w:after="360" w:line="240" w:lineRule="auto"/>
              <w:ind w:left="720"/>
              <w:outlineLvl w:val="2"/>
              <w:rPr>
                <w:rFonts w:ascii="Bookman Old Style" w:eastAsia="Times New Roman" w:hAnsi="Bookman Old Style" w:cs="Times New Roman"/>
                <w:b/>
                <w:color w:val="000099"/>
                <w:sz w:val="26"/>
                <w:szCs w:val="26"/>
                <w:lang w:eastAsia="ru-RU"/>
              </w:rPr>
            </w:pPr>
            <w:r w:rsidRPr="00AE4D98">
              <w:rPr>
                <w:rFonts w:ascii="Bookman Old Style" w:eastAsia="Times New Roman" w:hAnsi="Bookman Old Style" w:cs="Times New Roman"/>
                <w:b/>
                <w:color w:val="000099"/>
                <w:sz w:val="26"/>
                <w:szCs w:val="26"/>
                <w:lang w:eastAsia="ru-RU"/>
              </w:rPr>
              <w:lastRenderedPageBreak/>
              <w:t>Оценка вычислительной и офисной техники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 xml:space="preserve">При оценке офисной и компьютерной техники </w:t>
            </w:r>
            <w:proofErr w:type="gramStart"/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предоставляются следующие документы</w:t>
            </w:r>
            <w:proofErr w:type="gramEnd"/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: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 наименование: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 марка (модель);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 конфигурация (марки составных частей) (в случае компьютеров):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 процессор;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 корпус;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CD; DVD привод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 FDD дисковод;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 клавиатура: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жёсткий диск;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материнская плата;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 память;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монитор: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 МЫШЬ;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 акустическая система;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 видеокарта: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 звуковая карта;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 сетевая карта;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год выпуска (для компьютера - по каждой составной части).</w:t>
            </w:r>
          </w:p>
        </w:tc>
      </w:tr>
      <w:tr w:rsidR="00AE4D98" w:rsidRPr="00AE4D98" w:rsidTr="003A47CD">
        <w:tc>
          <w:tcPr>
            <w:tcW w:w="9571" w:type="dxa"/>
            <w:shd w:val="clear" w:color="auto" w:fill="CC99FF"/>
          </w:tcPr>
          <w:p w:rsidR="00AE4D98" w:rsidRPr="00AE4D98" w:rsidRDefault="00AE4D98" w:rsidP="00AE4D98">
            <w:pPr>
              <w:keepNext/>
              <w:keepLines/>
              <w:tabs>
                <w:tab w:val="left" w:pos="1077"/>
                <w:tab w:val="left" w:pos="1304"/>
              </w:tabs>
              <w:spacing w:before="480" w:after="360" w:line="240" w:lineRule="auto"/>
              <w:ind w:left="720"/>
              <w:outlineLvl w:val="2"/>
              <w:rPr>
                <w:rFonts w:ascii="Bookman Old Style" w:eastAsia="Times New Roman" w:hAnsi="Bookman Old Style" w:cs="Times New Roman"/>
                <w:b/>
                <w:color w:val="000099"/>
                <w:sz w:val="26"/>
                <w:szCs w:val="26"/>
                <w:lang w:eastAsia="ru-RU"/>
              </w:rPr>
            </w:pPr>
            <w:r w:rsidRPr="00AE4D98">
              <w:rPr>
                <w:rFonts w:ascii="Bookman Old Style" w:eastAsia="Times New Roman" w:hAnsi="Bookman Old Style" w:cs="Times New Roman"/>
                <w:b/>
                <w:color w:val="000099"/>
                <w:sz w:val="26"/>
                <w:szCs w:val="26"/>
                <w:lang w:eastAsia="ru-RU"/>
              </w:rPr>
              <w:t>Оценка мебели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 xml:space="preserve">При оценке мебели </w:t>
            </w:r>
            <w:proofErr w:type="gramStart"/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предоставляются следующие документы</w:t>
            </w:r>
            <w:proofErr w:type="gramEnd"/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: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 наименование;  марка/модель;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 страна-изготовитель;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 фирма-изготовитель;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 год выпуска;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 xml:space="preserve">*   основные технические характеристики:  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материал покрытия;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192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*   цвет.</w:t>
            </w:r>
          </w:p>
          <w:p w:rsidR="00AE4D98" w:rsidRPr="00AE4D98" w:rsidRDefault="00AE4D98" w:rsidP="00AE4D98">
            <w:pPr>
              <w:pBdr>
                <w:top w:val="single" w:sz="12" w:space="1" w:color="C0C0C0"/>
                <w:left w:val="single" w:sz="12" w:space="4" w:color="C0C0C0"/>
                <w:bottom w:val="single" w:sz="12" w:space="1" w:color="C0C0C0"/>
                <w:right w:val="single" w:sz="12" w:space="4" w:color="C0C0C0"/>
              </w:pBdr>
              <w:shd w:val="clear" w:color="auto" w:fill="EAEAEA"/>
              <w:spacing w:before="120" w:after="120" w:line="240" w:lineRule="auto"/>
              <w:ind w:left="113" w:right="113"/>
              <w:jc w:val="both"/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</w:pPr>
            <w:r w:rsidRPr="00AE4D98">
              <w:rPr>
                <w:rFonts w:ascii="Times New Roman" w:eastAsia="Times New Roman" w:hAnsi="Times New Roman" w:cs="Arial"/>
                <w:color w:val="000099"/>
                <w:sz w:val="24"/>
                <w:szCs w:val="18"/>
                <w:lang w:eastAsia="ru-RU"/>
              </w:rPr>
              <w:t>Данный перечень документов носит предварительный характер и может быть сокращен или расширен после детального ознакомления оценщика с заданием на оценку и перечнем оцениваемого имущества.</w:t>
            </w:r>
          </w:p>
        </w:tc>
      </w:tr>
    </w:tbl>
    <w:p w:rsidR="00AE4D98" w:rsidRPr="00AE4D98" w:rsidRDefault="00AE4D98" w:rsidP="00AE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D98" w:rsidRPr="00AE4D98" w:rsidRDefault="00AE4D98" w:rsidP="00AE4D9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D98" w:rsidRPr="00AE4D98" w:rsidRDefault="00AE4D98" w:rsidP="00AE4D9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D98" w:rsidRPr="00AE4D98" w:rsidRDefault="00AE4D98" w:rsidP="00AE4D9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26" w:rsidRDefault="009F6726">
      <w:bookmarkStart w:id="0" w:name="_GoBack"/>
      <w:bookmarkEnd w:id="0"/>
    </w:p>
    <w:sectPr w:rsidR="009F6726" w:rsidSect="0019386F">
      <w:headerReference w:type="default" r:id="rId5"/>
      <w:footerReference w:type="default" r:id="rId6"/>
      <w:pgSz w:w="11906" w:h="16838"/>
      <w:pgMar w:top="360" w:right="850" w:bottom="719" w:left="1701" w:header="540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7A" w:rsidRPr="0068458F" w:rsidRDefault="00AE4D98" w:rsidP="006E566B">
    <w:pPr>
      <w:pStyle w:val="a5"/>
      <w:jc w:val="center"/>
      <w:rPr>
        <w:color w:val="CC99FF"/>
      </w:rPr>
    </w:pPr>
    <w:r w:rsidRPr="002436C4">
      <w:rPr>
        <w:rStyle w:val="a7"/>
        <w:b/>
        <w:i/>
        <w:color w:val="000080"/>
      </w:rPr>
      <w:t xml:space="preserve">Оценка </w:t>
    </w:r>
    <w:r>
      <w:rPr>
        <w:rStyle w:val="a7"/>
        <w:b/>
        <w:i/>
        <w:color w:val="000080"/>
      </w:rPr>
      <w:t>рыночной стоимости</w:t>
    </w:r>
    <w:proofErr w:type="gramStart"/>
    <w:r>
      <w:rPr>
        <w:rStyle w:val="a7"/>
        <w:b/>
        <w:i/>
        <w:color w:val="000080"/>
      </w:rPr>
      <w:t xml:space="preserve">                                                                                      </w:t>
    </w:r>
    <w:r w:rsidRPr="002436C4">
      <w:rPr>
        <w:rStyle w:val="a7"/>
        <w:b/>
        <w:i/>
        <w:color w:val="CC99FF"/>
      </w:rPr>
      <w:t>С</w:t>
    </w:r>
    <w:proofErr w:type="gramEnd"/>
    <w:r w:rsidRPr="002436C4">
      <w:rPr>
        <w:rStyle w:val="a7"/>
        <w:b/>
        <w:i/>
        <w:color w:val="CC99FF"/>
      </w:rPr>
      <w:t>тр.</w:t>
    </w:r>
    <w:r w:rsidRPr="002436C4">
      <w:rPr>
        <w:rStyle w:val="a7"/>
        <w:b/>
        <w:color w:val="CC99FF"/>
      </w:rPr>
      <w:t xml:space="preserve"> </w:t>
    </w:r>
    <w:r w:rsidRPr="002436C4">
      <w:rPr>
        <w:rStyle w:val="a7"/>
        <w:b/>
        <w:i/>
        <w:color w:val="CC99FF"/>
      </w:rPr>
      <w:fldChar w:fldCharType="begin"/>
    </w:r>
    <w:r w:rsidRPr="002436C4">
      <w:rPr>
        <w:rStyle w:val="a7"/>
        <w:b/>
        <w:i/>
        <w:color w:val="CC99FF"/>
      </w:rPr>
      <w:instrText xml:space="preserve"> PAGE </w:instrText>
    </w:r>
    <w:r w:rsidRPr="002436C4">
      <w:rPr>
        <w:rStyle w:val="a7"/>
        <w:b/>
        <w:i/>
        <w:color w:val="CC99FF"/>
      </w:rPr>
      <w:fldChar w:fldCharType="separate"/>
    </w:r>
    <w:r>
      <w:rPr>
        <w:rStyle w:val="a7"/>
        <w:b/>
        <w:i/>
        <w:noProof/>
        <w:color w:val="CC99FF"/>
      </w:rPr>
      <w:t>4</w:t>
    </w:r>
    <w:r w:rsidRPr="002436C4">
      <w:rPr>
        <w:rStyle w:val="a7"/>
        <w:b/>
        <w:i/>
        <w:color w:val="CC99FF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7A" w:rsidRDefault="00AE4D98" w:rsidP="006E566B">
    <w:pPr>
      <w:pStyle w:val="a3"/>
    </w:pPr>
    <w:r>
      <w:rPr>
        <w:noProof/>
      </w:rPr>
      <w:drawing>
        <wp:inline distT="0" distB="0" distL="0" distR="0">
          <wp:extent cx="1800225" cy="371475"/>
          <wp:effectExtent l="0" t="0" r="9525" b="9525"/>
          <wp:docPr id="1" name="Рисунок 1" descr="rosexpert_gor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expert_gor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9" t="43025" r="15366" b="4282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98"/>
    <w:rsid w:val="009F6726"/>
    <w:rsid w:val="00A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4D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E4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E4D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E4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semiHidden/>
    <w:rsid w:val="00AE4D98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page number"/>
    <w:basedOn w:val="a0"/>
    <w:rsid w:val="00AE4D98"/>
  </w:style>
  <w:style w:type="paragraph" w:styleId="a8">
    <w:name w:val="Balloon Text"/>
    <w:basedOn w:val="a"/>
    <w:link w:val="a9"/>
    <w:uiPriority w:val="99"/>
    <w:semiHidden/>
    <w:unhideWhenUsed/>
    <w:rsid w:val="00AE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4D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E4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E4D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E4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semiHidden/>
    <w:rsid w:val="00AE4D98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page number"/>
    <w:basedOn w:val="a0"/>
    <w:rsid w:val="00AE4D98"/>
  </w:style>
  <w:style w:type="paragraph" w:styleId="a8">
    <w:name w:val="Balloon Text"/>
    <w:basedOn w:val="a"/>
    <w:link w:val="a9"/>
    <w:uiPriority w:val="99"/>
    <w:semiHidden/>
    <w:unhideWhenUsed/>
    <w:rsid w:val="00AE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5934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2019-02-11T16:23:00Z</dcterms:created>
  <dcterms:modified xsi:type="dcterms:W3CDTF">2019-02-11T16:24:00Z</dcterms:modified>
</cp:coreProperties>
</file>