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shd w:val="clear" w:color="auto" w:fill="CC99FF"/>
        <w:tblLayout w:type="fixed"/>
        <w:tblLook w:val="01E0" w:firstRow="1" w:lastRow="1" w:firstColumn="1" w:lastColumn="1" w:noHBand="0" w:noVBand="0"/>
      </w:tblPr>
      <w:tblGrid>
        <w:gridCol w:w="9571"/>
      </w:tblGrid>
      <w:tr w:rsidR="00095453" w:rsidTr="00B57572">
        <w:tc>
          <w:tcPr>
            <w:tcW w:w="9571" w:type="dxa"/>
            <w:shd w:val="clear" w:color="auto" w:fill="CC99FF"/>
          </w:tcPr>
          <w:p w:rsidR="00095453" w:rsidRPr="00095453" w:rsidRDefault="00095453" w:rsidP="00B57572">
            <w:pPr>
              <w:pStyle w:val="1"/>
              <w:outlineLvl w:val="0"/>
              <w:rPr>
                <w:lang w:val="ru-RU"/>
              </w:rPr>
            </w:pPr>
            <w:r w:rsidRPr="00095453">
              <w:rPr>
                <w:lang w:val="ru-RU"/>
              </w:rPr>
              <w:t>Оценка нежилого помещения</w:t>
            </w:r>
          </w:p>
          <w:p w:rsidR="00095453" w:rsidRDefault="00095453" w:rsidP="00B57572">
            <w:r w:rsidRPr="00115839">
              <w:t>Стоимость услуг по оценке нежилого помещения (вне зависимости от текущего его использования) формируется в соответствии со следующей таблицей</w:t>
            </w:r>
            <w:r>
              <w:t>.</w:t>
            </w:r>
          </w:p>
          <w:p w:rsidR="00095453" w:rsidRDefault="00095453" w:rsidP="00B57572">
            <w:pPr>
              <w:rPr>
                <w:b/>
                <w:i/>
              </w:rPr>
            </w:pPr>
            <w:r w:rsidRPr="006E566B">
              <w:rPr>
                <w:b/>
                <w:i/>
              </w:rPr>
              <w:t>Таблица 1.</w:t>
            </w:r>
          </w:p>
          <w:tbl>
            <w:tblPr>
              <w:tblStyle w:val="1Total"/>
              <w:tblW w:w="4905" w:type="pct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226"/>
              <w:gridCol w:w="2029"/>
              <w:gridCol w:w="2912"/>
            </w:tblGrid>
            <w:tr w:rsidR="009224C3" w:rsidRPr="009224C3" w:rsidTr="009224C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"/>
              </w:trPr>
              <w:tc>
                <w:tcPr>
                  <w:tcW w:w="4226" w:type="dxa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Тип оцениваемого объекта</w:t>
                  </w:r>
                </w:p>
              </w:tc>
              <w:tc>
                <w:tcPr>
                  <w:tcW w:w="2029" w:type="dxa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Стоимость</w:t>
                  </w:r>
                </w:p>
              </w:tc>
              <w:tc>
                <w:tcPr>
                  <w:tcW w:w="2912" w:type="dxa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Срок выполнения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9167" w:type="dxa"/>
                  <w:gridSpan w:val="3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  <w:rPr>
                      <w:b/>
                    </w:rPr>
                  </w:pPr>
                  <w:r w:rsidRPr="009224C3">
                    <w:rPr>
                      <w:b/>
                    </w:rPr>
                    <w:t>Квартиры в г. Москва</w:t>
                  </w:r>
                  <w:r>
                    <w:rPr>
                      <w:b/>
                    </w:rPr>
                    <w:t xml:space="preserve"> и область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vMerge w:val="restart"/>
                  <w:shd w:val="clear" w:color="auto" w:fill="FFFFFF" w:themeFill="background1"/>
                  <w:hideMark/>
                </w:tcPr>
                <w:p w:rsidR="009224C3" w:rsidRPr="009224C3" w:rsidRDefault="009224C3" w:rsidP="009224C3">
                  <w:pPr>
                    <w:pStyle w:val="Total"/>
                  </w:pPr>
                  <w:r w:rsidRPr="009224C3">
                    <w:t xml:space="preserve">Типовая 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4000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от 1 до 2 рабочих дней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vMerge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5000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1 рабочий день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vMerge w:val="restart"/>
                  <w:shd w:val="clear" w:color="auto" w:fill="FFFFFF" w:themeFill="background1"/>
                  <w:hideMark/>
                </w:tcPr>
                <w:p w:rsidR="009224C3" w:rsidRPr="009224C3" w:rsidRDefault="009224C3" w:rsidP="009224C3">
                  <w:pPr>
                    <w:pStyle w:val="Total"/>
                  </w:pPr>
                  <w:r w:rsidRPr="009224C3">
                    <w:t xml:space="preserve">Элитная 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5000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от 1 до 2 рабочих дней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vMerge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6000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1 рабочий день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vMerge w:val="restart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 xml:space="preserve">Комната 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4500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от 1 до 2 рабочих дней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vMerge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5500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1 рабочий день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9167" w:type="dxa"/>
                  <w:gridSpan w:val="3"/>
                  <w:shd w:val="clear" w:color="auto" w:fill="FFFFFF" w:themeFill="background1"/>
                  <w:hideMark/>
                </w:tcPr>
                <w:p w:rsidR="009224C3" w:rsidRPr="009224C3" w:rsidRDefault="009224C3" w:rsidP="009224C3">
                  <w:pPr>
                    <w:pStyle w:val="Total"/>
                    <w:rPr>
                      <w:b/>
                    </w:rPr>
                  </w:pPr>
                  <w:r w:rsidRPr="009224C3">
                    <w:rPr>
                      <w:b/>
                    </w:rPr>
                    <w:t xml:space="preserve">Квартиры </w:t>
                  </w:r>
                  <w:r>
                    <w:rPr>
                      <w:b/>
                    </w:rPr>
                    <w:t>за пределами Московской области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vMerge w:val="restart"/>
                  <w:shd w:val="clear" w:color="auto" w:fill="FFFFFF" w:themeFill="background1"/>
                  <w:hideMark/>
                </w:tcPr>
                <w:p w:rsidR="009224C3" w:rsidRPr="009224C3" w:rsidRDefault="009224C3" w:rsidP="009224C3">
                  <w:pPr>
                    <w:pStyle w:val="Total"/>
                  </w:pPr>
                  <w:r w:rsidRPr="009224C3">
                    <w:t xml:space="preserve">Типовая 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5000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от 1 до 2 рабочих дней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vMerge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6000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1 рабочий день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vMerge w:val="restart"/>
                  <w:shd w:val="clear" w:color="auto" w:fill="FFFFFF" w:themeFill="background1"/>
                  <w:hideMark/>
                </w:tcPr>
                <w:p w:rsidR="009224C3" w:rsidRPr="009224C3" w:rsidRDefault="009224C3" w:rsidP="009224C3">
                  <w:pPr>
                    <w:pStyle w:val="Total"/>
                  </w:pPr>
                  <w:r w:rsidRPr="009224C3">
                    <w:t xml:space="preserve">Элитная 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6000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от 1 до 2 рабочих дней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vMerge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7000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1 рабочий день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vMerge w:val="restart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 xml:space="preserve">Комната 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5500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от 1 до 2 рабочих дней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vMerge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6500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1 рабочий день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9167" w:type="dxa"/>
                  <w:gridSpan w:val="3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  <w:rPr>
                      <w:b/>
                    </w:rPr>
                  </w:pPr>
                  <w:r w:rsidRPr="009224C3">
                    <w:rPr>
                      <w:b/>
                    </w:rPr>
                    <w:t>Загородная недвижимость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shd w:val="clear" w:color="auto" w:fill="FFFFFF" w:themeFill="background1"/>
                </w:tcPr>
                <w:p w:rsidR="009224C3" w:rsidRPr="009224C3" w:rsidRDefault="009224C3" w:rsidP="009224C3">
                  <w:pPr>
                    <w:pStyle w:val="Total"/>
                  </w:pPr>
                  <w:r>
                    <w:t>Гараж, бытовка, с</w:t>
                  </w:r>
                  <w:bookmarkStart w:id="0" w:name="_GoBack"/>
                  <w:bookmarkEnd w:id="0"/>
                  <w:r>
                    <w:t>адовый домик без земли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</w:tcPr>
                <w:p w:rsidR="009224C3" w:rsidRPr="009224C3" w:rsidRDefault="009224C3" w:rsidP="007B2446">
                  <w:pPr>
                    <w:pStyle w:val="Total"/>
                  </w:pPr>
                  <w:r>
                    <w:t>5000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9224C3" w:rsidRPr="009224C3" w:rsidRDefault="009224C3" w:rsidP="007B2446">
                  <w:pPr>
                    <w:pStyle w:val="Total"/>
                  </w:pP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shd w:val="clear" w:color="auto" w:fill="FFFFFF" w:themeFill="background1"/>
                </w:tcPr>
                <w:p w:rsidR="009224C3" w:rsidRDefault="009224C3" w:rsidP="009224C3">
                  <w:pPr>
                    <w:pStyle w:val="Total"/>
                  </w:pPr>
                  <w:r w:rsidRPr="009224C3">
                    <w:t xml:space="preserve">Садовый домик </w:t>
                  </w:r>
                  <w:r>
                    <w:t>с</w:t>
                  </w:r>
                  <w:r w:rsidRPr="009224C3">
                    <w:t xml:space="preserve"> земл</w:t>
                  </w:r>
                  <w:r>
                    <w:t>ей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</w:tcPr>
                <w:p w:rsidR="009224C3" w:rsidRDefault="009224C3" w:rsidP="007B2446">
                  <w:pPr>
                    <w:pStyle w:val="Total"/>
                  </w:pPr>
                  <w:r>
                    <w:t>10000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</w:tcPr>
                <w:p w:rsidR="009224C3" w:rsidRPr="009224C3" w:rsidRDefault="009224C3" w:rsidP="007B2446">
                  <w:pPr>
                    <w:pStyle w:val="Total"/>
                  </w:pP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vMerge w:val="restart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Загородный дом до 250 кв. м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15000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от 1 до 2 рабочих дней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vMerge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17000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1 рабочий день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vMerge w:val="restart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 xml:space="preserve">Загородный дом от 250 кв. м до 500 </w:t>
                  </w:r>
                  <w:proofErr w:type="spellStart"/>
                  <w:r w:rsidRPr="009224C3">
                    <w:t>кв</w:t>
                  </w:r>
                  <w:proofErr w:type="gramStart"/>
                  <w:r w:rsidRPr="009224C3"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17000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от 1 до 2 рабочих дней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vMerge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19000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1 рабочий день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Загородный дом свыше 500 кв. м</w:t>
                  </w:r>
                </w:p>
              </w:tc>
              <w:tc>
                <w:tcPr>
                  <w:tcW w:w="4941" w:type="dxa"/>
                  <w:gridSpan w:val="2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По договоренности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Гараж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5000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от 1 до 2 рабочих дней</w:t>
                  </w:r>
                </w:p>
              </w:tc>
            </w:tr>
            <w:tr w:rsidR="009224C3" w:rsidRPr="009224C3" w:rsidTr="009224C3">
              <w:trPr>
                <w:trHeight w:val="23"/>
              </w:trPr>
              <w:tc>
                <w:tcPr>
                  <w:tcW w:w="4226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Арендная ставка</w:t>
                  </w:r>
                </w:p>
              </w:tc>
              <w:tc>
                <w:tcPr>
                  <w:tcW w:w="2029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7000</w:t>
                  </w:r>
                </w:p>
              </w:tc>
              <w:tc>
                <w:tcPr>
                  <w:tcW w:w="2912" w:type="dxa"/>
                  <w:shd w:val="clear" w:color="auto" w:fill="FFFFFF" w:themeFill="background1"/>
                  <w:hideMark/>
                </w:tcPr>
                <w:p w:rsidR="009224C3" w:rsidRPr="009224C3" w:rsidRDefault="009224C3" w:rsidP="007B2446">
                  <w:pPr>
                    <w:pStyle w:val="Total"/>
                  </w:pPr>
                  <w:r w:rsidRPr="009224C3">
                    <w:t>от 1 до 2 рабочих дней</w:t>
                  </w:r>
                </w:p>
              </w:tc>
            </w:tr>
          </w:tbl>
          <w:p w:rsidR="009224C3" w:rsidRDefault="009224C3" w:rsidP="00B57572">
            <w:pPr>
              <w:rPr>
                <w:b/>
                <w:i/>
              </w:rPr>
            </w:pPr>
          </w:p>
          <w:p w:rsidR="009224C3" w:rsidRPr="006E566B" w:rsidRDefault="009224C3" w:rsidP="00B57572">
            <w:pPr>
              <w:rPr>
                <w:b/>
                <w:i/>
              </w:rPr>
            </w:pPr>
          </w:p>
          <w:p w:rsidR="00095453" w:rsidRDefault="00095453" w:rsidP="00B57572"/>
        </w:tc>
      </w:tr>
    </w:tbl>
    <w:p w:rsidR="00095453" w:rsidRDefault="00095453" w:rsidP="00095453"/>
    <w:tbl>
      <w:tblPr>
        <w:tblStyle w:val="a4"/>
        <w:tblW w:w="0" w:type="auto"/>
        <w:shd w:val="clear" w:color="auto" w:fill="CC99FF"/>
        <w:tblLook w:val="01E0" w:firstRow="1" w:lastRow="1" w:firstColumn="1" w:lastColumn="1" w:noHBand="0" w:noVBand="0"/>
      </w:tblPr>
      <w:tblGrid>
        <w:gridCol w:w="9571"/>
      </w:tblGrid>
      <w:tr w:rsidR="00095453" w:rsidTr="00B57572">
        <w:tc>
          <w:tcPr>
            <w:tcW w:w="9571" w:type="dxa"/>
            <w:shd w:val="clear" w:color="auto" w:fill="CC99FF"/>
          </w:tcPr>
          <w:p w:rsidR="00095453" w:rsidRPr="00115839" w:rsidRDefault="00095453" w:rsidP="00B57572">
            <w:pPr>
              <w:pStyle w:val="2"/>
              <w:outlineLvl w:val="1"/>
            </w:pPr>
            <w:r w:rsidRPr="00115839">
              <w:t>Что входит в стоимость услуг по оценке</w:t>
            </w:r>
          </w:p>
          <w:p w:rsidR="00095453" w:rsidRPr="000A2D93" w:rsidRDefault="00095453" w:rsidP="00B57572">
            <w:pPr>
              <w:pStyle w:val="5"/>
              <w:outlineLvl w:val="4"/>
            </w:pPr>
            <w:r w:rsidRPr="000A2D93">
              <w:t>В стоимость услуг по оценке входит:</w:t>
            </w:r>
          </w:p>
          <w:p w:rsidR="00095453" w:rsidRPr="0019386F" w:rsidRDefault="00095453" w:rsidP="00B57572">
            <w:pPr>
              <w:pStyle w:val="a3"/>
            </w:pPr>
            <w:r w:rsidRPr="0019386F">
              <w:t>1.  Выезд специалиста для осмотра объекта оценки (при расположении нежилого помещения в пределах МКАД).</w:t>
            </w:r>
          </w:p>
          <w:p w:rsidR="00095453" w:rsidRPr="0019386F" w:rsidRDefault="00095453" w:rsidP="00B57572">
            <w:pPr>
              <w:pStyle w:val="a3"/>
            </w:pPr>
            <w:r w:rsidRPr="0019386F">
              <w:t>2.  Проведение фотосъемки и составление акта осмотра объекта</w:t>
            </w:r>
            <w:r>
              <w:t>.</w:t>
            </w:r>
          </w:p>
          <w:p w:rsidR="00095453" w:rsidRPr="0019386F" w:rsidRDefault="00095453" w:rsidP="00B57572">
            <w:pPr>
              <w:pStyle w:val="a3"/>
            </w:pPr>
            <w:r w:rsidRPr="0019386F">
              <w:t>3.  Проведение полного комплекса оценочных услуг</w:t>
            </w:r>
            <w:r>
              <w:t>.</w:t>
            </w:r>
          </w:p>
          <w:p w:rsidR="00095453" w:rsidRPr="0019386F" w:rsidRDefault="00095453" w:rsidP="00B57572">
            <w:pPr>
              <w:pStyle w:val="a3"/>
            </w:pPr>
            <w:r w:rsidRPr="0019386F">
              <w:t>4.  Составление отчета об оценке нежилого помещения. Отчет составляется в 1 (одном) экземпляре, на бумажном носителе.</w:t>
            </w:r>
          </w:p>
          <w:p w:rsidR="00095453" w:rsidRDefault="00095453" w:rsidP="00B57572"/>
        </w:tc>
      </w:tr>
    </w:tbl>
    <w:p w:rsidR="00095453" w:rsidRDefault="00095453" w:rsidP="00095453"/>
    <w:p w:rsidR="00095453" w:rsidRDefault="00095453" w:rsidP="00095453"/>
    <w:tbl>
      <w:tblPr>
        <w:tblStyle w:val="a4"/>
        <w:tblW w:w="0" w:type="auto"/>
        <w:shd w:val="clear" w:color="auto" w:fill="CC99FF"/>
        <w:tblLook w:val="01E0" w:firstRow="1" w:lastRow="1" w:firstColumn="1" w:lastColumn="1" w:noHBand="0" w:noVBand="0"/>
      </w:tblPr>
      <w:tblGrid>
        <w:gridCol w:w="9571"/>
      </w:tblGrid>
      <w:tr w:rsidR="00095453" w:rsidTr="00B57572">
        <w:tc>
          <w:tcPr>
            <w:tcW w:w="9571" w:type="dxa"/>
            <w:shd w:val="clear" w:color="auto" w:fill="CC99FF"/>
          </w:tcPr>
          <w:p w:rsidR="00095453" w:rsidRDefault="00095453" w:rsidP="00B57572">
            <w:pPr>
              <w:pStyle w:val="2"/>
              <w:outlineLvl w:val="1"/>
            </w:pPr>
            <w:r w:rsidRPr="00673A63">
              <w:lastRenderedPageBreak/>
              <w:t>Стоимость дополнительных услуг по оценке нежилых помещений</w:t>
            </w:r>
          </w:p>
          <w:p w:rsidR="00095453" w:rsidRPr="006E566B" w:rsidRDefault="00095453" w:rsidP="00B57572">
            <w:pPr>
              <w:rPr>
                <w:b/>
                <w:i/>
              </w:rPr>
            </w:pPr>
            <w:r w:rsidRPr="006E566B">
              <w:rPr>
                <w:b/>
                <w:i/>
              </w:rPr>
              <w:t>Таблица 2.</w:t>
            </w:r>
          </w:p>
          <w:tbl>
            <w:tblPr>
              <w:tblStyle w:val="1Total"/>
              <w:tblW w:w="4905" w:type="pct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1"/>
              <w:gridCol w:w="5603"/>
              <w:gridCol w:w="3033"/>
            </w:tblGrid>
            <w:tr w:rsidR="00095453" w:rsidRPr="00673A63" w:rsidTr="00B575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"/>
              </w:trPr>
              <w:tc>
                <w:tcPr>
                  <w:tcW w:w="53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:rsidR="00095453" w:rsidRPr="0068458F" w:rsidRDefault="00095453" w:rsidP="00B57572">
                  <w:pPr>
                    <w:pStyle w:val="Total"/>
                  </w:pPr>
                  <w:r w:rsidRPr="0068458F">
                    <w:t xml:space="preserve">№ </w:t>
                  </w:r>
                  <w:proofErr w:type="gramStart"/>
                  <w:r w:rsidRPr="0068458F">
                    <w:t>п</w:t>
                  </w:r>
                  <w:proofErr w:type="gramEnd"/>
                  <w:r w:rsidRPr="0068458F">
                    <w:t>/п</w:t>
                  </w:r>
                </w:p>
              </w:tc>
              <w:tc>
                <w:tcPr>
                  <w:tcW w:w="560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:rsidR="00095453" w:rsidRPr="0068458F" w:rsidRDefault="00095453" w:rsidP="00B57572">
                  <w:pPr>
                    <w:pStyle w:val="Total"/>
                  </w:pPr>
                  <w:r w:rsidRPr="0068458F">
                    <w:t>Описание</w:t>
                  </w:r>
                </w:p>
              </w:tc>
              <w:tc>
                <w:tcPr>
                  <w:tcW w:w="303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:rsidR="00095453" w:rsidRPr="0068458F" w:rsidRDefault="00095453" w:rsidP="00B57572">
                  <w:pPr>
                    <w:pStyle w:val="Total"/>
                  </w:pPr>
                  <w:r w:rsidRPr="0068458F">
                    <w:t>Стоимость</w:t>
                  </w:r>
                </w:p>
              </w:tc>
            </w:tr>
            <w:tr w:rsidR="00095453" w:rsidRPr="00673A63" w:rsidTr="00B57572">
              <w:trPr>
                <w:trHeight w:val="23"/>
              </w:trPr>
              <w:tc>
                <w:tcPr>
                  <w:tcW w:w="531" w:type="dxa"/>
                  <w:shd w:val="clear" w:color="auto" w:fill="FFFFFF"/>
                </w:tcPr>
                <w:p w:rsidR="00095453" w:rsidRPr="00673A63" w:rsidRDefault="00095453" w:rsidP="00B57572">
                  <w:pPr>
                    <w:pStyle w:val="Total"/>
                  </w:pPr>
                  <w:r w:rsidRPr="00673A63">
                    <w:t>1</w:t>
                  </w:r>
                </w:p>
              </w:tc>
              <w:tc>
                <w:tcPr>
                  <w:tcW w:w="5603" w:type="dxa"/>
                  <w:shd w:val="clear" w:color="auto" w:fill="FFFFFF"/>
                </w:tcPr>
                <w:p w:rsidR="00095453" w:rsidRPr="0068458F" w:rsidRDefault="00095453" w:rsidP="00B57572">
                  <w:pPr>
                    <w:pStyle w:val="Total"/>
                  </w:pPr>
                  <w:r w:rsidRPr="0068458F">
                    <w:t>Оценка осуществляется для предоставления отчета в банк (</w:t>
                  </w:r>
                  <w:proofErr w:type="spellStart"/>
                  <w:r w:rsidRPr="0068458F">
                    <w:t>залогове</w:t>
                  </w:r>
                  <w:proofErr w:type="spellEnd"/>
                  <w:r w:rsidRPr="0068458F">
                    <w:t xml:space="preserve"> обеспечение, рефинансирование, ипотека и т.п.) </w:t>
                  </w:r>
                  <w:r w:rsidRPr="0068458F">
                    <w:br/>
                  </w:r>
                  <w:r w:rsidRPr="0068458F">
                    <w:rPr>
                      <w:i/>
                    </w:rPr>
                    <w:t xml:space="preserve"> В этом случае в отчете будут размещены цветные фотографии                                </w:t>
                  </w:r>
                </w:p>
              </w:tc>
              <w:tc>
                <w:tcPr>
                  <w:tcW w:w="3033" w:type="dxa"/>
                  <w:shd w:val="clear" w:color="auto" w:fill="FFFFFF"/>
                </w:tcPr>
                <w:p w:rsidR="00095453" w:rsidRPr="0068458F" w:rsidRDefault="00095453" w:rsidP="00B57572">
                  <w:pPr>
                    <w:pStyle w:val="Total"/>
                    <w:rPr>
                      <w:szCs w:val="28"/>
                    </w:rPr>
                  </w:pPr>
                  <w:r w:rsidRPr="0068458F">
                    <w:t>+ 1 500 руб.</w:t>
                  </w:r>
                </w:p>
              </w:tc>
            </w:tr>
            <w:tr w:rsidR="00095453" w:rsidRPr="00673A63" w:rsidTr="00B57572">
              <w:trPr>
                <w:trHeight w:val="23"/>
              </w:trPr>
              <w:tc>
                <w:tcPr>
                  <w:tcW w:w="531" w:type="dxa"/>
                  <w:shd w:val="clear" w:color="auto" w:fill="FFFFFF"/>
                </w:tcPr>
                <w:p w:rsidR="00095453" w:rsidRPr="00673A63" w:rsidRDefault="00095453" w:rsidP="00B57572">
                  <w:pPr>
                    <w:pStyle w:val="Total"/>
                  </w:pPr>
                  <w:r>
                    <w:t>2</w:t>
                  </w:r>
                </w:p>
              </w:tc>
              <w:tc>
                <w:tcPr>
                  <w:tcW w:w="5603" w:type="dxa"/>
                  <w:shd w:val="clear" w:color="auto" w:fill="FFFFFF"/>
                </w:tcPr>
                <w:p w:rsidR="00095453" w:rsidRPr="0068458F" w:rsidRDefault="00095453" w:rsidP="00B57572">
                  <w:pPr>
                    <w:pStyle w:val="Total"/>
                    <w:rPr>
                      <w:szCs w:val="28"/>
                    </w:rPr>
                  </w:pPr>
                  <w:r w:rsidRPr="0068458F">
                    <w:t xml:space="preserve">Дополнительный экземпляр отчета об оценке                                                      </w:t>
                  </w:r>
                </w:p>
              </w:tc>
              <w:tc>
                <w:tcPr>
                  <w:tcW w:w="3033" w:type="dxa"/>
                  <w:shd w:val="clear" w:color="auto" w:fill="FFFFFF"/>
                </w:tcPr>
                <w:p w:rsidR="00095453" w:rsidRPr="0068458F" w:rsidRDefault="00095453" w:rsidP="00B57572">
                  <w:pPr>
                    <w:pStyle w:val="Total"/>
                    <w:rPr>
                      <w:szCs w:val="28"/>
                    </w:rPr>
                  </w:pPr>
                  <w:r w:rsidRPr="0068458F">
                    <w:t>+1 000 руб.</w:t>
                  </w:r>
                </w:p>
              </w:tc>
            </w:tr>
            <w:tr w:rsidR="00095453" w:rsidRPr="00673A63" w:rsidTr="00B57572">
              <w:trPr>
                <w:trHeight w:val="23"/>
              </w:trPr>
              <w:tc>
                <w:tcPr>
                  <w:tcW w:w="531" w:type="dxa"/>
                  <w:shd w:val="clear" w:color="auto" w:fill="FFFFFF"/>
                </w:tcPr>
                <w:p w:rsidR="00095453" w:rsidRPr="00673A63" w:rsidRDefault="00095453" w:rsidP="00B57572">
                  <w:pPr>
                    <w:pStyle w:val="Total"/>
                  </w:pPr>
                  <w:r>
                    <w:t>3</w:t>
                  </w:r>
                </w:p>
              </w:tc>
              <w:tc>
                <w:tcPr>
                  <w:tcW w:w="5603" w:type="dxa"/>
                  <w:shd w:val="clear" w:color="auto" w:fill="FFFFFF"/>
                </w:tcPr>
                <w:p w:rsidR="00095453" w:rsidRPr="0068458F" w:rsidRDefault="00095453" w:rsidP="00B57572">
                  <w:pPr>
                    <w:pStyle w:val="Total"/>
                    <w:rPr>
                      <w:szCs w:val="28"/>
                    </w:rPr>
                  </w:pPr>
                  <w:r w:rsidRPr="0068458F">
                    <w:t xml:space="preserve">Объект оценки расположен за МКАД (в пределах </w:t>
                  </w:r>
                  <w:smartTag w:uri="urn:schemas-microsoft-com:office:smarttags" w:element="metricconverter">
                    <w:smartTagPr>
                      <w:attr w:name="ProductID" w:val="20 км"/>
                    </w:smartTagPr>
                    <w:r w:rsidRPr="0068458F">
                      <w:t>20 км</w:t>
                    </w:r>
                  </w:smartTag>
                  <w:proofErr w:type="gramStart"/>
                  <w:r w:rsidRPr="0068458F">
                    <w:t>.</w:t>
                  </w:r>
                  <w:proofErr w:type="gramEnd"/>
                  <w:r w:rsidRPr="0068458F">
                    <w:t xml:space="preserve"> </w:t>
                  </w:r>
                  <w:proofErr w:type="gramStart"/>
                  <w:r w:rsidRPr="0068458F">
                    <w:t>о</w:t>
                  </w:r>
                  <w:proofErr w:type="gramEnd"/>
                  <w:r w:rsidRPr="0068458F">
                    <w:t xml:space="preserve">т МКАД. </w:t>
                  </w:r>
                  <w:r w:rsidRPr="0068458F">
                    <w:br/>
                    <w:t>Доплата осуществляется за выезд специалиста для осмотра объекта</w:t>
                  </w:r>
                </w:p>
              </w:tc>
              <w:tc>
                <w:tcPr>
                  <w:tcW w:w="3033" w:type="dxa"/>
                  <w:shd w:val="clear" w:color="auto" w:fill="FFFFFF"/>
                </w:tcPr>
                <w:p w:rsidR="00095453" w:rsidRPr="0068458F" w:rsidRDefault="00095453" w:rsidP="00B57572">
                  <w:pPr>
                    <w:pStyle w:val="Total"/>
                    <w:rPr>
                      <w:szCs w:val="28"/>
                    </w:rPr>
                  </w:pPr>
                  <w:r w:rsidRPr="0068458F">
                    <w:t xml:space="preserve">+ 500 руб.              </w:t>
                  </w:r>
                </w:p>
              </w:tc>
            </w:tr>
            <w:tr w:rsidR="00095453" w:rsidRPr="00673A63" w:rsidTr="00B57572">
              <w:trPr>
                <w:trHeight w:val="23"/>
              </w:trPr>
              <w:tc>
                <w:tcPr>
                  <w:tcW w:w="531" w:type="dxa"/>
                  <w:shd w:val="clear" w:color="auto" w:fill="FFFFFF"/>
                </w:tcPr>
                <w:p w:rsidR="00095453" w:rsidRPr="00673A63" w:rsidRDefault="00095453" w:rsidP="00B57572">
                  <w:pPr>
                    <w:pStyle w:val="Total"/>
                  </w:pPr>
                  <w:r>
                    <w:t>4</w:t>
                  </w:r>
                </w:p>
              </w:tc>
              <w:tc>
                <w:tcPr>
                  <w:tcW w:w="5603" w:type="dxa"/>
                  <w:shd w:val="clear" w:color="auto" w:fill="FFFFFF"/>
                </w:tcPr>
                <w:p w:rsidR="00095453" w:rsidRPr="0068458F" w:rsidRDefault="00095453" w:rsidP="00B57572">
                  <w:pPr>
                    <w:pStyle w:val="Total"/>
                    <w:rPr>
                      <w:szCs w:val="28"/>
                    </w:rPr>
                  </w:pPr>
                  <w:r w:rsidRPr="0068458F">
                    <w:t xml:space="preserve">Объект оценки расположен за МКАД (далее </w:t>
                  </w:r>
                  <w:smartTag w:uri="urn:schemas-microsoft-com:office:smarttags" w:element="metricconverter">
                    <w:smartTagPr>
                      <w:attr w:name="ProductID" w:val="20 км"/>
                    </w:smartTagPr>
                    <w:r w:rsidRPr="0068458F">
                      <w:t>20 км</w:t>
                    </w:r>
                  </w:smartTag>
                  <w:proofErr w:type="gramStart"/>
                  <w:r w:rsidRPr="0068458F">
                    <w:t>.</w:t>
                  </w:r>
                  <w:proofErr w:type="gramEnd"/>
                  <w:r w:rsidRPr="0068458F">
                    <w:t xml:space="preserve"> </w:t>
                  </w:r>
                  <w:proofErr w:type="gramStart"/>
                  <w:r w:rsidRPr="0068458F">
                    <w:t>о</w:t>
                  </w:r>
                  <w:proofErr w:type="gramEnd"/>
                  <w:r w:rsidRPr="0068458F">
                    <w:t xml:space="preserve">т МКАД) Доплата осуществляется за выезд специалиста для осмотра объекта   в зависимости от удаленности      </w:t>
                  </w:r>
                </w:p>
              </w:tc>
              <w:tc>
                <w:tcPr>
                  <w:tcW w:w="3033" w:type="dxa"/>
                  <w:shd w:val="clear" w:color="auto" w:fill="FFFFFF"/>
                </w:tcPr>
                <w:p w:rsidR="00095453" w:rsidRPr="0068458F" w:rsidRDefault="00095453" w:rsidP="00B57572">
                  <w:pPr>
                    <w:pStyle w:val="Total"/>
                    <w:rPr>
                      <w:szCs w:val="28"/>
                    </w:rPr>
                  </w:pPr>
                  <w:r w:rsidRPr="0068458F">
                    <w:t>от 700 руб.</w:t>
                  </w:r>
                </w:p>
              </w:tc>
            </w:tr>
            <w:tr w:rsidR="00095453" w:rsidRPr="00673A63" w:rsidTr="00B57572">
              <w:trPr>
                <w:trHeight w:val="23"/>
              </w:trPr>
              <w:tc>
                <w:tcPr>
                  <w:tcW w:w="531" w:type="dxa"/>
                  <w:shd w:val="clear" w:color="auto" w:fill="FFFFFF"/>
                </w:tcPr>
                <w:p w:rsidR="00095453" w:rsidRPr="00673A63" w:rsidRDefault="00095453" w:rsidP="00B57572">
                  <w:pPr>
                    <w:pStyle w:val="Total"/>
                  </w:pPr>
                  <w:r>
                    <w:t>5</w:t>
                  </w:r>
                </w:p>
              </w:tc>
              <w:tc>
                <w:tcPr>
                  <w:tcW w:w="5603" w:type="dxa"/>
                  <w:shd w:val="clear" w:color="auto" w:fill="FFFFFF"/>
                </w:tcPr>
                <w:p w:rsidR="00095453" w:rsidRPr="0068458F" w:rsidRDefault="00095453" w:rsidP="00B57572">
                  <w:pPr>
                    <w:pStyle w:val="Total"/>
                    <w:rPr>
                      <w:szCs w:val="28"/>
                    </w:rPr>
                  </w:pPr>
                  <w:r w:rsidRPr="0068458F">
                    <w:t xml:space="preserve">Выполнение работ по оценке в срочном режиме (1 день)      </w:t>
                  </w:r>
                </w:p>
              </w:tc>
              <w:tc>
                <w:tcPr>
                  <w:tcW w:w="3033" w:type="dxa"/>
                  <w:shd w:val="clear" w:color="auto" w:fill="FFFFFF"/>
                </w:tcPr>
                <w:p w:rsidR="00095453" w:rsidRPr="0068458F" w:rsidRDefault="00095453" w:rsidP="00B57572">
                  <w:pPr>
                    <w:pStyle w:val="Total"/>
                  </w:pPr>
                  <w:r w:rsidRPr="0068458F">
                    <w:t>+100%</w:t>
                  </w:r>
                </w:p>
              </w:tc>
            </w:tr>
          </w:tbl>
          <w:p w:rsidR="00095453" w:rsidRDefault="00095453" w:rsidP="00B57572"/>
        </w:tc>
      </w:tr>
    </w:tbl>
    <w:p w:rsidR="00095453" w:rsidRDefault="00095453" w:rsidP="00095453"/>
    <w:p w:rsidR="00095453" w:rsidRDefault="00095453" w:rsidP="00095453"/>
    <w:tbl>
      <w:tblPr>
        <w:tblStyle w:val="a4"/>
        <w:tblW w:w="0" w:type="auto"/>
        <w:shd w:val="clear" w:color="auto" w:fill="CC99FF"/>
        <w:tblLook w:val="01E0" w:firstRow="1" w:lastRow="1" w:firstColumn="1" w:lastColumn="1" w:noHBand="0" w:noVBand="0"/>
      </w:tblPr>
      <w:tblGrid>
        <w:gridCol w:w="9571"/>
      </w:tblGrid>
      <w:tr w:rsidR="00095453" w:rsidTr="00B57572">
        <w:tc>
          <w:tcPr>
            <w:tcW w:w="9571" w:type="dxa"/>
            <w:shd w:val="clear" w:color="auto" w:fill="CC99FF"/>
          </w:tcPr>
          <w:p w:rsidR="00095453" w:rsidRDefault="00095453" w:rsidP="00B57572">
            <w:pPr>
              <w:pStyle w:val="2"/>
              <w:outlineLvl w:val="1"/>
            </w:pPr>
            <w:r w:rsidRPr="00673A63">
              <w:t>Документы,    которые    необходимо    предоставить    для    оценки жилого помещения</w:t>
            </w:r>
          </w:p>
          <w:p w:rsidR="00095453" w:rsidRPr="000A2D93" w:rsidRDefault="00095453" w:rsidP="00B57572">
            <w:pPr>
              <w:pStyle w:val="5"/>
              <w:outlineLvl w:val="4"/>
            </w:pPr>
            <w:r w:rsidRPr="000A2D93">
              <w:t>Для оценки жилого помещения необходимо предоставить следующий пакет документы:</w:t>
            </w:r>
          </w:p>
          <w:p w:rsidR="00095453" w:rsidRDefault="00095453" w:rsidP="00B57572">
            <w:pPr>
              <w:pStyle w:val="a3"/>
            </w:pPr>
            <w:r>
              <w:t>1.  Свидетельство о собственности на помещение.</w:t>
            </w:r>
          </w:p>
          <w:p w:rsidR="00095453" w:rsidRDefault="00095453" w:rsidP="00B57572">
            <w:pPr>
              <w:pStyle w:val="a3"/>
            </w:pPr>
            <w:r>
              <w:t>2.  Поэтажный план.</w:t>
            </w:r>
          </w:p>
          <w:p w:rsidR="00095453" w:rsidRDefault="00095453" w:rsidP="00B57572">
            <w:pPr>
              <w:pStyle w:val="a3"/>
            </w:pPr>
            <w:r>
              <w:t>3.  Экспликация.</w:t>
            </w:r>
          </w:p>
          <w:p w:rsidR="00095453" w:rsidRDefault="00095453" w:rsidP="00B57572">
            <w:pPr>
              <w:pStyle w:val="a3"/>
            </w:pPr>
            <w:r>
              <w:t>4.  Технический и/или кадастровый паспорт (при наличии).</w:t>
            </w:r>
          </w:p>
          <w:p w:rsidR="00095453" w:rsidRDefault="00095453" w:rsidP="00B57572">
            <w:pPr>
              <w:pStyle w:val="a3"/>
            </w:pPr>
            <w:r>
              <w:t>5.  6.  Реквизиты заказчика:</w:t>
            </w:r>
          </w:p>
          <w:p w:rsidR="00095453" w:rsidRDefault="00095453" w:rsidP="00B57572">
            <w:pPr>
              <w:pStyle w:val="a3"/>
            </w:pPr>
            <w:r>
              <w:t>6.1 Реквизиты юридического лица - в случае, если заказчик/собственник объекта - юридическое лицо</w:t>
            </w:r>
          </w:p>
          <w:p w:rsidR="00095453" w:rsidRDefault="00095453" w:rsidP="00B57572">
            <w:pPr>
              <w:pStyle w:val="a3"/>
            </w:pPr>
            <w:r>
              <w:t>6.2  Паспорт  заказчика  (первый  лист  -  разворот  и  прописка)  - в  случае,  если  заказчиком/ собственником является физическое лицо</w:t>
            </w:r>
          </w:p>
          <w:p w:rsidR="00095453" w:rsidRDefault="00095453" w:rsidP="00B57572"/>
        </w:tc>
      </w:tr>
    </w:tbl>
    <w:p w:rsidR="00095453" w:rsidRDefault="00095453" w:rsidP="00095453"/>
    <w:p w:rsidR="00095453" w:rsidRDefault="00095453" w:rsidP="00095453"/>
    <w:p w:rsidR="00BE37CD" w:rsidRDefault="00BE37CD"/>
    <w:sectPr w:rsidR="00BE37CD" w:rsidSect="009224C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53"/>
    <w:rsid w:val="00095453"/>
    <w:rsid w:val="009224C3"/>
    <w:rsid w:val="00B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Total"/>
    <w:basedOn w:val="a"/>
    <w:next w:val="a"/>
    <w:link w:val="10"/>
    <w:autoRedefine/>
    <w:qFormat/>
    <w:rsid w:val="00095453"/>
    <w:pPr>
      <w:keepLines/>
      <w:pageBreakBefore/>
      <w:tabs>
        <w:tab w:val="left" w:pos="902"/>
      </w:tabs>
      <w:spacing w:before="240" w:after="480"/>
      <w:ind w:left="720"/>
      <w:jc w:val="center"/>
      <w:outlineLvl w:val="0"/>
    </w:pPr>
    <w:rPr>
      <w:rFonts w:ascii="Bookman Old Style" w:hAnsi="Bookman Old Style" w:cs="Arial"/>
      <w:b/>
      <w:caps/>
      <w:color w:val="000099"/>
      <w:kern w:val="26"/>
      <w:sz w:val="26"/>
      <w:szCs w:val="26"/>
      <w:lang w:val="en-US"/>
    </w:rPr>
  </w:style>
  <w:style w:type="paragraph" w:styleId="2">
    <w:name w:val="heading 2"/>
    <w:aliases w:val="2 Total"/>
    <w:basedOn w:val="a"/>
    <w:next w:val="a"/>
    <w:link w:val="20"/>
    <w:autoRedefine/>
    <w:qFormat/>
    <w:rsid w:val="00095453"/>
    <w:pPr>
      <w:keepNext/>
      <w:keepLines/>
      <w:tabs>
        <w:tab w:val="left" w:pos="900"/>
        <w:tab w:val="left" w:pos="1080"/>
      </w:tabs>
      <w:spacing w:before="480" w:after="360"/>
      <w:outlineLvl w:val="1"/>
    </w:pPr>
    <w:rPr>
      <w:rFonts w:ascii="Bookman Old Style" w:hAnsi="Bookman Old Style"/>
      <w:b/>
      <w:bCs/>
      <w:iCs/>
      <w:smallCaps/>
      <w:color w:val="000099"/>
      <w:kern w:val="28"/>
      <w:sz w:val="26"/>
      <w:szCs w:val="26"/>
    </w:rPr>
  </w:style>
  <w:style w:type="paragraph" w:styleId="5">
    <w:name w:val="heading 5"/>
    <w:aliases w:val="5 Total"/>
    <w:basedOn w:val="a"/>
    <w:next w:val="a"/>
    <w:link w:val="50"/>
    <w:autoRedefine/>
    <w:qFormat/>
    <w:rsid w:val="00095453"/>
    <w:pPr>
      <w:keepNext/>
      <w:keepLines/>
      <w:spacing w:before="360" w:after="240"/>
      <w:ind w:left="567"/>
      <w:outlineLvl w:val="4"/>
    </w:pPr>
    <w:rPr>
      <w:rFonts w:ascii="Bookman Old Style" w:hAnsi="Bookman Old Style"/>
      <w:b/>
      <w:color w:val="0000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Total Знак"/>
    <w:basedOn w:val="a0"/>
    <w:link w:val="1"/>
    <w:rsid w:val="00095453"/>
    <w:rPr>
      <w:rFonts w:ascii="Bookman Old Style" w:eastAsia="Times New Roman" w:hAnsi="Bookman Old Style" w:cs="Arial"/>
      <w:b/>
      <w:caps/>
      <w:color w:val="000099"/>
      <w:kern w:val="26"/>
      <w:sz w:val="26"/>
      <w:szCs w:val="26"/>
      <w:lang w:val="en-US" w:eastAsia="ru-RU"/>
    </w:rPr>
  </w:style>
  <w:style w:type="character" w:customStyle="1" w:styleId="20">
    <w:name w:val="Заголовок 2 Знак"/>
    <w:aliases w:val="2 Total Знак"/>
    <w:basedOn w:val="a0"/>
    <w:link w:val="2"/>
    <w:rsid w:val="00095453"/>
    <w:rPr>
      <w:rFonts w:ascii="Bookman Old Style" w:eastAsia="Times New Roman" w:hAnsi="Bookman Old Style" w:cs="Times New Roman"/>
      <w:b/>
      <w:bCs/>
      <w:iCs/>
      <w:smallCaps/>
      <w:color w:val="000099"/>
      <w:kern w:val="28"/>
      <w:sz w:val="26"/>
      <w:szCs w:val="26"/>
      <w:lang w:eastAsia="ru-RU"/>
    </w:rPr>
  </w:style>
  <w:style w:type="character" w:customStyle="1" w:styleId="50">
    <w:name w:val="Заголовок 5 Знак"/>
    <w:aliases w:val="5 Total Знак"/>
    <w:basedOn w:val="a0"/>
    <w:link w:val="5"/>
    <w:rsid w:val="00095453"/>
    <w:rPr>
      <w:rFonts w:ascii="Bookman Old Style" w:eastAsia="Times New Roman" w:hAnsi="Bookman Old Style" w:cs="Times New Roman"/>
      <w:b/>
      <w:color w:val="000099"/>
      <w:sz w:val="24"/>
      <w:szCs w:val="24"/>
      <w:lang w:eastAsia="ru-RU"/>
    </w:rPr>
  </w:style>
  <w:style w:type="paragraph" w:customStyle="1" w:styleId="a3">
    <w:name w:val="Выводы тотал +"/>
    <w:basedOn w:val="a"/>
    <w:autoRedefine/>
    <w:rsid w:val="00095453"/>
    <w:pPr>
      <w:pBdr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Bdr>
      <w:shd w:val="clear" w:color="auto" w:fill="EAEAEA"/>
      <w:spacing w:before="120" w:after="120"/>
      <w:ind w:left="113" w:right="113"/>
      <w:jc w:val="both"/>
    </w:pPr>
    <w:rPr>
      <w:rFonts w:cs="Arial"/>
      <w:color w:val="000099"/>
      <w:szCs w:val="18"/>
    </w:rPr>
  </w:style>
  <w:style w:type="table" w:customStyle="1" w:styleId="1Total">
    <w:name w:val="Таблица 1 Total"/>
    <w:basedOn w:val="a1"/>
    <w:rsid w:val="00095453"/>
    <w:pPr>
      <w:keepLines/>
      <w:spacing w:before="40" w:after="40" w:line="240" w:lineRule="auto"/>
      <w:ind w:left="-57" w:right="-5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nil"/>
      <w:tblBorders>
        <w:top w:val="single" w:sz="12" w:space="0" w:color="C0C0C0"/>
        <w:left w:val="single" w:sz="4" w:space="0" w:color="C0C0C0"/>
        <w:bottom w:val="single" w:sz="12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cantSplit/>
      <w:jc w:val="center"/>
    </w:trPr>
    <w:tcPr>
      <w:vAlign w:val="center"/>
    </w:tcPr>
    <w:tblStylePr w:type="firstRow">
      <w:pPr>
        <w:keepNext/>
        <w:keepLines/>
        <w:widowControl/>
        <w:wordWrap/>
        <w:spacing w:beforeLines="0" w:before="40" w:beforeAutospacing="0" w:afterLines="0" w:after="40" w:afterAutospacing="0" w:line="240" w:lineRule="auto"/>
        <w:ind w:leftChars="0" w:left="-57" w:rightChars="0" w:right="-57" w:firstLineChars="0" w:firstLine="0"/>
        <w:contextualSpacing/>
      </w:pPr>
      <w:rPr>
        <w:rFonts w:ascii="Times New Roman" w:hAnsi="Times New Roman"/>
        <w:b/>
        <w:color w:val="000099"/>
        <w:sz w:val="20"/>
        <w:szCs w:val="20"/>
      </w:rPr>
      <w:tblPr/>
      <w:trPr>
        <w:tblHeader/>
      </w:trPr>
      <w:tcPr>
        <w:tcBorders>
          <w:top w:val="single" w:sz="12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  <w:shd w:val="clear" w:color="auto" w:fill="EAEAEA"/>
      </w:tcPr>
    </w:tblStylePr>
  </w:style>
  <w:style w:type="paragraph" w:customStyle="1" w:styleId="Total">
    <w:name w:val="Текст в таблице Total"/>
    <w:basedOn w:val="a"/>
    <w:autoRedefine/>
    <w:rsid w:val="00095453"/>
    <w:pPr>
      <w:keepNext/>
      <w:keepLines/>
      <w:spacing w:before="40" w:after="40"/>
      <w:ind w:left="-57" w:right="-57"/>
      <w:contextualSpacing/>
      <w:jc w:val="center"/>
    </w:pPr>
    <w:rPr>
      <w:sz w:val="20"/>
      <w:szCs w:val="20"/>
    </w:rPr>
  </w:style>
  <w:style w:type="table" w:styleId="a4">
    <w:name w:val="Table Grid"/>
    <w:basedOn w:val="a1"/>
    <w:rsid w:val="0009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Total"/>
    <w:basedOn w:val="a"/>
    <w:next w:val="a"/>
    <w:link w:val="10"/>
    <w:autoRedefine/>
    <w:qFormat/>
    <w:rsid w:val="00095453"/>
    <w:pPr>
      <w:keepLines/>
      <w:pageBreakBefore/>
      <w:tabs>
        <w:tab w:val="left" w:pos="902"/>
      </w:tabs>
      <w:spacing w:before="240" w:after="480"/>
      <w:ind w:left="720"/>
      <w:jc w:val="center"/>
      <w:outlineLvl w:val="0"/>
    </w:pPr>
    <w:rPr>
      <w:rFonts w:ascii="Bookman Old Style" w:hAnsi="Bookman Old Style" w:cs="Arial"/>
      <w:b/>
      <w:caps/>
      <w:color w:val="000099"/>
      <w:kern w:val="26"/>
      <w:sz w:val="26"/>
      <w:szCs w:val="26"/>
      <w:lang w:val="en-US"/>
    </w:rPr>
  </w:style>
  <w:style w:type="paragraph" w:styleId="2">
    <w:name w:val="heading 2"/>
    <w:aliases w:val="2 Total"/>
    <w:basedOn w:val="a"/>
    <w:next w:val="a"/>
    <w:link w:val="20"/>
    <w:autoRedefine/>
    <w:qFormat/>
    <w:rsid w:val="00095453"/>
    <w:pPr>
      <w:keepNext/>
      <w:keepLines/>
      <w:tabs>
        <w:tab w:val="left" w:pos="900"/>
        <w:tab w:val="left" w:pos="1080"/>
      </w:tabs>
      <w:spacing w:before="480" w:after="360"/>
      <w:outlineLvl w:val="1"/>
    </w:pPr>
    <w:rPr>
      <w:rFonts w:ascii="Bookman Old Style" w:hAnsi="Bookman Old Style"/>
      <w:b/>
      <w:bCs/>
      <w:iCs/>
      <w:smallCaps/>
      <w:color w:val="000099"/>
      <w:kern w:val="28"/>
      <w:sz w:val="26"/>
      <w:szCs w:val="26"/>
    </w:rPr>
  </w:style>
  <w:style w:type="paragraph" w:styleId="5">
    <w:name w:val="heading 5"/>
    <w:aliases w:val="5 Total"/>
    <w:basedOn w:val="a"/>
    <w:next w:val="a"/>
    <w:link w:val="50"/>
    <w:autoRedefine/>
    <w:qFormat/>
    <w:rsid w:val="00095453"/>
    <w:pPr>
      <w:keepNext/>
      <w:keepLines/>
      <w:spacing w:before="360" w:after="240"/>
      <w:ind w:left="567"/>
      <w:outlineLvl w:val="4"/>
    </w:pPr>
    <w:rPr>
      <w:rFonts w:ascii="Bookman Old Style" w:hAnsi="Bookman Old Style"/>
      <w:b/>
      <w:color w:val="0000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Total Знак"/>
    <w:basedOn w:val="a0"/>
    <w:link w:val="1"/>
    <w:rsid w:val="00095453"/>
    <w:rPr>
      <w:rFonts w:ascii="Bookman Old Style" w:eastAsia="Times New Roman" w:hAnsi="Bookman Old Style" w:cs="Arial"/>
      <w:b/>
      <w:caps/>
      <w:color w:val="000099"/>
      <w:kern w:val="26"/>
      <w:sz w:val="26"/>
      <w:szCs w:val="26"/>
      <w:lang w:val="en-US" w:eastAsia="ru-RU"/>
    </w:rPr>
  </w:style>
  <w:style w:type="character" w:customStyle="1" w:styleId="20">
    <w:name w:val="Заголовок 2 Знак"/>
    <w:aliases w:val="2 Total Знак"/>
    <w:basedOn w:val="a0"/>
    <w:link w:val="2"/>
    <w:rsid w:val="00095453"/>
    <w:rPr>
      <w:rFonts w:ascii="Bookman Old Style" w:eastAsia="Times New Roman" w:hAnsi="Bookman Old Style" w:cs="Times New Roman"/>
      <w:b/>
      <w:bCs/>
      <w:iCs/>
      <w:smallCaps/>
      <w:color w:val="000099"/>
      <w:kern w:val="28"/>
      <w:sz w:val="26"/>
      <w:szCs w:val="26"/>
      <w:lang w:eastAsia="ru-RU"/>
    </w:rPr>
  </w:style>
  <w:style w:type="character" w:customStyle="1" w:styleId="50">
    <w:name w:val="Заголовок 5 Знак"/>
    <w:aliases w:val="5 Total Знак"/>
    <w:basedOn w:val="a0"/>
    <w:link w:val="5"/>
    <w:rsid w:val="00095453"/>
    <w:rPr>
      <w:rFonts w:ascii="Bookman Old Style" w:eastAsia="Times New Roman" w:hAnsi="Bookman Old Style" w:cs="Times New Roman"/>
      <w:b/>
      <w:color w:val="000099"/>
      <w:sz w:val="24"/>
      <w:szCs w:val="24"/>
      <w:lang w:eastAsia="ru-RU"/>
    </w:rPr>
  </w:style>
  <w:style w:type="paragraph" w:customStyle="1" w:styleId="a3">
    <w:name w:val="Выводы тотал +"/>
    <w:basedOn w:val="a"/>
    <w:autoRedefine/>
    <w:rsid w:val="00095453"/>
    <w:pPr>
      <w:pBdr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Bdr>
      <w:shd w:val="clear" w:color="auto" w:fill="EAEAEA"/>
      <w:spacing w:before="120" w:after="120"/>
      <w:ind w:left="113" w:right="113"/>
      <w:jc w:val="both"/>
    </w:pPr>
    <w:rPr>
      <w:rFonts w:cs="Arial"/>
      <w:color w:val="000099"/>
      <w:szCs w:val="18"/>
    </w:rPr>
  </w:style>
  <w:style w:type="table" w:customStyle="1" w:styleId="1Total">
    <w:name w:val="Таблица 1 Total"/>
    <w:basedOn w:val="a1"/>
    <w:rsid w:val="00095453"/>
    <w:pPr>
      <w:keepLines/>
      <w:spacing w:before="40" w:after="40" w:line="240" w:lineRule="auto"/>
      <w:ind w:left="-57" w:right="-57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Ind w:w="0" w:type="nil"/>
      <w:tblBorders>
        <w:top w:val="single" w:sz="12" w:space="0" w:color="C0C0C0"/>
        <w:left w:val="single" w:sz="4" w:space="0" w:color="C0C0C0"/>
        <w:bottom w:val="single" w:sz="12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cantSplit/>
      <w:jc w:val="center"/>
    </w:trPr>
    <w:tcPr>
      <w:vAlign w:val="center"/>
    </w:tcPr>
    <w:tblStylePr w:type="firstRow">
      <w:pPr>
        <w:keepNext/>
        <w:keepLines/>
        <w:widowControl/>
        <w:wordWrap/>
        <w:spacing w:beforeLines="0" w:before="40" w:beforeAutospacing="0" w:afterLines="0" w:after="40" w:afterAutospacing="0" w:line="240" w:lineRule="auto"/>
        <w:ind w:leftChars="0" w:left="-57" w:rightChars="0" w:right="-57" w:firstLineChars="0" w:firstLine="0"/>
        <w:contextualSpacing/>
      </w:pPr>
      <w:rPr>
        <w:rFonts w:ascii="Times New Roman" w:hAnsi="Times New Roman"/>
        <w:b/>
        <w:color w:val="000099"/>
        <w:sz w:val="20"/>
        <w:szCs w:val="20"/>
      </w:rPr>
      <w:tblPr/>
      <w:trPr>
        <w:tblHeader/>
      </w:trPr>
      <w:tcPr>
        <w:tcBorders>
          <w:top w:val="single" w:sz="12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  <w:shd w:val="clear" w:color="auto" w:fill="EAEAEA"/>
      </w:tcPr>
    </w:tblStylePr>
  </w:style>
  <w:style w:type="paragraph" w:customStyle="1" w:styleId="Total">
    <w:name w:val="Текст в таблице Total"/>
    <w:basedOn w:val="a"/>
    <w:autoRedefine/>
    <w:rsid w:val="00095453"/>
    <w:pPr>
      <w:keepNext/>
      <w:keepLines/>
      <w:spacing w:before="40" w:after="40"/>
      <w:ind w:left="-57" w:right="-57"/>
      <w:contextualSpacing/>
      <w:jc w:val="center"/>
    </w:pPr>
    <w:rPr>
      <w:sz w:val="20"/>
      <w:szCs w:val="20"/>
    </w:rPr>
  </w:style>
  <w:style w:type="table" w:styleId="a4">
    <w:name w:val="Table Grid"/>
    <w:basedOn w:val="a1"/>
    <w:rsid w:val="00095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431</Words>
  <Characters>2461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2019-02-11T14:44:00Z</dcterms:created>
  <dcterms:modified xsi:type="dcterms:W3CDTF">2019-02-11T16:03:00Z</dcterms:modified>
</cp:coreProperties>
</file>