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20" w:type="dxa"/>
        <w:tblInd w:w="-72" w:type="dxa"/>
        <w:shd w:val="clear" w:color="auto" w:fill="CC99FF"/>
        <w:tblLayout w:type="fixed"/>
        <w:tblLook w:val="01E0" w:firstRow="1" w:lastRow="1" w:firstColumn="1" w:lastColumn="1" w:noHBand="0" w:noVBand="0"/>
      </w:tblPr>
      <w:tblGrid>
        <w:gridCol w:w="72"/>
        <w:gridCol w:w="9571"/>
        <w:gridCol w:w="77"/>
      </w:tblGrid>
      <w:tr w:rsidR="00A032A4" w:rsidTr="002F5248">
        <w:trPr>
          <w:trHeight w:val="5093"/>
        </w:trPr>
        <w:tc>
          <w:tcPr>
            <w:tcW w:w="9720" w:type="dxa"/>
            <w:gridSpan w:val="3"/>
            <w:shd w:val="clear" w:color="auto" w:fill="CC99FF"/>
          </w:tcPr>
          <w:p w:rsidR="00A032A4" w:rsidRDefault="00A032A4" w:rsidP="00B57572">
            <w:pPr>
              <w:pStyle w:val="1"/>
              <w:outlineLvl w:val="0"/>
              <w:rPr>
                <w:lang w:val="ru-RU"/>
              </w:rPr>
            </w:pPr>
            <w:r>
              <w:t>Оценка зем</w:t>
            </w:r>
            <w:r>
              <w:rPr>
                <w:lang w:val="ru-RU"/>
              </w:rPr>
              <w:t>ли</w:t>
            </w:r>
          </w:p>
          <w:p w:rsidR="00A032A4" w:rsidRPr="00FA4BF5" w:rsidRDefault="00A032A4" w:rsidP="00A032A4">
            <w:pPr>
              <w:pStyle w:val="2"/>
              <w:numPr>
                <w:ilvl w:val="1"/>
                <w:numId w:val="1"/>
              </w:numPr>
              <w:outlineLvl w:val="1"/>
            </w:pPr>
            <w:r>
              <w:t>Рыночная оценка земельных участков</w:t>
            </w:r>
          </w:p>
          <w:p w:rsidR="00A032A4" w:rsidRDefault="00A032A4" w:rsidP="002F5248">
            <w:pPr>
              <w:pStyle w:val="a3"/>
            </w:pPr>
            <w:r>
              <w:t>Стоимость оценки земельного участка от  10 000 руб.</w:t>
            </w:r>
          </w:p>
          <w:tbl>
            <w:tblPr>
              <w:tblStyle w:val="1Total"/>
              <w:tblW w:w="4905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93"/>
              <w:gridCol w:w="2062"/>
              <w:gridCol w:w="2959"/>
            </w:tblGrid>
            <w:tr w:rsidR="00D55DFF" w:rsidRPr="00D55DFF" w:rsidTr="00D55D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"/>
              </w:trPr>
              <w:tc>
                <w:tcPr>
                  <w:tcW w:w="4293" w:type="dxa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Тип оцениваемого объекта</w:t>
                  </w:r>
                </w:p>
              </w:tc>
              <w:tc>
                <w:tcPr>
                  <w:tcW w:w="2062" w:type="dxa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Стоимость</w:t>
                  </w:r>
                </w:p>
              </w:tc>
              <w:tc>
                <w:tcPr>
                  <w:tcW w:w="2959" w:type="dxa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 xml:space="preserve">Срок </w:t>
                  </w:r>
                  <w:proofErr w:type="spellStart"/>
                  <w:r w:rsidRPr="00D55DFF">
                    <w:t>выполненения</w:t>
                  </w:r>
                  <w:proofErr w:type="spellEnd"/>
                </w:p>
              </w:tc>
            </w:tr>
            <w:tr w:rsidR="00D55DFF" w:rsidRPr="00D55DFF" w:rsidTr="002F5248">
              <w:trPr>
                <w:trHeight w:val="23"/>
              </w:trPr>
              <w:tc>
                <w:tcPr>
                  <w:tcW w:w="9314" w:type="dxa"/>
                  <w:gridSpan w:val="3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  <w:rPr>
                      <w:b/>
                    </w:rPr>
                  </w:pPr>
                  <w:r w:rsidRPr="00D55DFF">
                    <w:rPr>
                      <w:b/>
                    </w:rPr>
                    <w:t>Садовые участки</w:t>
                  </w:r>
                </w:p>
              </w:tc>
            </w:tr>
            <w:tr w:rsidR="00D55DFF" w:rsidRPr="00D55DFF" w:rsidTr="002F5248">
              <w:trPr>
                <w:trHeight w:val="23"/>
              </w:trPr>
              <w:tc>
                <w:tcPr>
                  <w:tcW w:w="4293" w:type="dxa"/>
                  <w:vMerge w:val="restart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Участок до 10 соток</w:t>
                  </w:r>
                </w:p>
              </w:tc>
              <w:tc>
                <w:tcPr>
                  <w:tcW w:w="2062" w:type="dxa"/>
                  <w:shd w:val="clear" w:color="auto" w:fill="FFFFFF" w:themeFill="background1"/>
                  <w:hideMark/>
                </w:tcPr>
                <w:p w:rsidR="00D55DFF" w:rsidRPr="00D55DFF" w:rsidRDefault="002F5248" w:rsidP="00D55DFF">
                  <w:pPr>
                    <w:pStyle w:val="Total"/>
                  </w:pPr>
                  <w:r>
                    <w:t>10</w:t>
                  </w:r>
                  <w:bookmarkStart w:id="0" w:name="_GoBack"/>
                  <w:bookmarkEnd w:id="0"/>
                  <w:r w:rsidR="00D55DFF" w:rsidRPr="00D55DFF">
                    <w:t>000</w:t>
                  </w:r>
                </w:p>
              </w:tc>
              <w:tc>
                <w:tcPr>
                  <w:tcW w:w="2959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от 1 до 2 рабочих дней</w:t>
                  </w:r>
                </w:p>
              </w:tc>
            </w:tr>
            <w:tr w:rsidR="00D55DFF" w:rsidRPr="00D55DFF" w:rsidTr="002F5248">
              <w:trPr>
                <w:trHeight w:val="23"/>
              </w:trPr>
              <w:tc>
                <w:tcPr>
                  <w:tcW w:w="4293" w:type="dxa"/>
                  <w:vMerge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</w:p>
              </w:tc>
              <w:tc>
                <w:tcPr>
                  <w:tcW w:w="2062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12000</w:t>
                  </w:r>
                </w:p>
              </w:tc>
              <w:tc>
                <w:tcPr>
                  <w:tcW w:w="2959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1 рабочий день</w:t>
                  </w:r>
                </w:p>
              </w:tc>
            </w:tr>
            <w:tr w:rsidR="00D55DFF" w:rsidRPr="00D55DFF" w:rsidTr="002F5248">
              <w:trPr>
                <w:trHeight w:val="23"/>
              </w:trPr>
              <w:tc>
                <w:tcPr>
                  <w:tcW w:w="4293" w:type="dxa"/>
                  <w:vMerge w:val="restart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Участок от 10 до 30 соток</w:t>
                  </w:r>
                </w:p>
              </w:tc>
              <w:tc>
                <w:tcPr>
                  <w:tcW w:w="2062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13000</w:t>
                  </w:r>
                </w:p>
              </w:tc>
              <w:tc>
                <w:tcPr>
                  <w:tcW w:w="2959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от 1 до 2 рабочих дней</w:t>
                  </w:r>
                </w:p>
              </w:tc>
            </w:tr>
            <w:tr w:rsidR="00D55DFF" w:rsidRPr="00D55DFF" w:rsidTr="002F5248">
              <w:trPr>
                <w:trHeight w:val="23"/>
              </w:trPr>
              <w:tc>
                <w:tcPr>
                  <w:tcW w:w="4293" w:type="dxa"/>
                  <w:vMerge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</w:p>
              </w:tc>
              <w:tc>
                <w:tcPr>
                  <w:tcW w:w="2062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15000</w:t>
                  </w:r>
                </w:p>
              </w:tc>
              <w:tc>
                <w:tcPr>
                  <w:tcW w:w="2959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1 рабочий день</w:t>
                  </w:r>
                </w:p>
              </w:tc>
            </w:tr>
            <w:tr w:rsidR="00D55DFF" w:rsidRPr="00D55DFF" w:rsidTr="002F5248">
              <w:trPr>
                <w:trHeight w:val="23"/>
              </w:trPr>
              <w:tc>
                <w:tcPr>
                  <w:tcW w:w="4293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Участок свыше 30 соток</w:t>
                  </w:r>
                </w:p>
              </w:tc>
              <w:tc>
                <w:tcPr>
                  <w:tcW w:w="5021" w:type="dxa"/>
                  <w:gridSpan w:val="2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По договоренности</w:t>
                  </w:r>
                </w:p>
              </w:tc>
            </w:tr>
            <w:tr w:rsidR="00D55DFF" w:rsidRPr="00D55DFF" w:rsidTr="002F5248">
              <w:trPr>
                <w:trHeight w:val="23"/>
              </w:trPr>
              <w:tc>
                <w:tcPr>
                  <w:tcW w:w="9314" w:type="dxa"/>
                  <w:gridSpan w:val="3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  <w:rPr>
                      <w:b/>
                    </w:rPr>
                  </w:pPr>
                  <w:r w:rsidRPr="00D55DFF">
                    <w:rPr>
                      <w:b/>
                    </w:rPr>
                    <w:t>Участки под коллективную застройку и земли сельскохозяйственного назначения</w:t>
                  </w:r>
                </w:p>
              </w:tc>
            </w:tr>
            <w:tr w:rsidR="00D55DFF" w:rsidRPr="00D55DFF" w:rsidTr="002F5248">
              <w:trPr>
                <w:trHeight w:val="23"/>
              </w:trPr>
              <w:tc>
                <w:tcPr>
                  <w:tcW w:w="4293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Земля до 1 Га</w:t>
                  </w:r>
                </w:p>
              </w:tc>
              <w:tc>
                <w:tcPr>
                  <w:tcW w:w="2062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20000</w:t>
                  </w:r>
                </w:p>
              </w:tc>
              <w:tc>
                <w:tcPr>
                  <w:tcW w:w="2959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от 2 до 3 рабочих дней</w:t>
                  </w:r>
                </w:p>
              </w:tc>
            </w:tr>
            <w:tr w:rsidR="00D55DFF" w:rsidRPr="00D55DFF" w:rsidTr="002F5248">
              <w:trPr>
                <w:trHeight w:val="23"/>
              </w:trPr>
              <w:tc>
                <w:tcPr>
                  <w:tcW w:w="4293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Земля до 100 Га</w:t>
                  </w:r>
                </w:p>
              </w:tc>
              <w:tc>
                <w:tcPr>
                  <w:tcW w:w="2062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25000</w:t>
                  </w:r>
                </w:p>
              </w:tc>
              <w:tc>
                <w:tcPr>
                  <w:tcW w:w="2959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от 2 до 3 рабочих дней</w:t>
                  </w:r>
                </w:p>
              </w:tc>
            </w:tr>
            <w:tr w:rsidR="00D55DFF" w:rsidRPr="00D55DFF" w:rsidTr="002F5248">
              <w:trPr>
                <w:trHeight w:val="23"/>
              </w:trPr>
              <w:tc>
                <w:tcPr>
                  <w:tcW w:w="4293" w:type="dxa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Земля свыше 100 Га</w:t>
                  </w:r>
                </w:p>
              </w:tc>
              <w:tc>
                <w:tcPr>
                  <w:tcW w:w="5021" w:type="dxa"/>
                  <w:gridSpan w:val="2"/>
                  <w:shd w:val="clear" w:color="auto" w:fill="FFFFFF" w:themeFill="background1"/>
                  <w:hideMark/>
                </w:tcPr>
                <w:p w:rsidR="00D55DFF" w:rsidRPr="00D55DFF" w:rsidRDefault="00D55DFF" w:rsidP="00D55DFF">
                  <w:pPr>
                    <w:pStyle w:val="Total"/>
                  </w:pPr>
                  <w:r w:rsidRPr="00D55DFF">
                    <w:t>По договоренности</w:t>
                  </w:r>
                </w:p>
              </w:tc>
            </w:tr>
          </w:tbl>
          <w:p w:rsidR="00A032A4" w:rsidRDefault="00A032A4" w:rsidP="002F5248">
            <w:pPr>
              <w:pStyle w:val="5"/>
              <w:outlineLvl w:val="4"/>
            </w:pPr>
            <w:r w:rsidRPr="00FA4BF5">
              <w:t>Документы, необходимые для оценки земельных участков: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>
              <w:t>1</w:t>
            </w:r>
            <w:r w:rsidRPr="002F5248">
              <w:rPr>
                <w:szCs w:val="24"/>
              </w:rPr>
              <w:t>.  Свидетельство о собственности на земельный участок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>2.  Кадастровый план земельного участка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>3.  В случае</w:t>
            </w:r>
            <w:proofErr w:type="gramStart"/>
            <w:r w:rsidRPr="002F5248">
              <w:rPr>
                <w:szCs w:val="24"/>
              </w:rPr>
              <w:t>,</w:t>
            </w:r>
            <w:proofErr w:type="gramEnd"/>
            <w:r w:rsidRPr="002F5248">
              <w:rPr>
                <w:szCs w:val="24"/>
              </w:rPr>
              <w:t xml:space="preserve"> если собственником земельного участка является юридическое лицо - справка о балансовой стоимости и дате постановки на бухгалтерский учет.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>4.  При вступлении в права наследства - свидетельство о смерти собственника земельного участка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 xml:space="preserve">5.  При наличии обременении - предоставляются </w:t>
            </w:r>
            <w:proofErr w:type="gramStart"/>
            <w:r w:rsidRPr="002F5248">
              <w:rPr>
                <w:szCs w:val="24"/>
              </w:rPr>
              <w:t>документы</w:t>
            </w:r>
            <w:proofErr w:type="gramEnd"/>
            <w:r w:rsidRPr="002F5248">
              <w:rPr>
                <w:szCs w:val="24"/>
              </w:rPr>
              <w:t xml:space="preserve"> на основании которых возникли данные обременения.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>6.  Реквизиты заказчика</w:t>
            </w:r>
          </w:p>
          <w:p w:rsidR="00A032A4" w:rsidRDefault="00A032A4" w:rsidP="002F5248">
            <w:pPr>
              <w:pStyle w:val="5"/>
              <w:outlineLvl w:val="4"/>
            </w:pPr>
            <w:r>
              <w:t>Случаи рыночной оценки земельных участков:</w:t>
            </w:r>
          </w:p>
          <w:p w:rsidR="002F5248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>*  совершения разных сделок с одним и тем же объектом недвижимости;</w:t>
            </w:r>
            <w:r w:rsidR="002F5248" w:rsidRPr="002F5248">
              <w:rPr>
                <w:szCs w:val="24"/>
              </w:rPr>
              <w:t xml:space="preserve"> 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>*  определения начальной цены земли: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>*   изъятия земельных участков;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>*  внесения земельных участков в уставные капиталы компаний;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 xml:space="preserve">*   </w:t>
            </w:r>
            <w:proofErr w:type="gramStart"/>
            <w:r w:rsidRPr="002F5248">
              <w:rPr>
                <w:szCs w:val="24"/>
              </w:rPr>
              <w:t>разработки</w:t>
            </w:r>
            <w:proofErr w:type="gramEnd"/>
            <w:r w:rsidRPr="002F5248">
              <w:rPr>
                <w:szCs w:val="24"/>
              </w:rPr>
              <w:t xml:space="preserve"> а также осуществления инвестиционных проектов;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>*   оценка права пользования земельным участком;</w:t>
            </w:r>
          </w:p>
          <w:p w:rsidR="00A032A4" w:rsidRPr="002F5248" w:rsidRDefault="00A032A4" w:rsidP="002F5248">
            <w:pPr>
              <w:pStyle w:val="a3"/>
              <w:rPr>
                <w:szCs w:val="24"/>
              </w:rPr>
            </w:pPr>
            <w:r w:rsidRPr="002F5248">
              <w:rPr>
                <w:szCs w:val="24"/>
              </w:rPr>
              <w:t>*   в иных случаях.</w:t>
            </w:r>
          </w:p>
          <w:p w:rsidR="00A032A4" w:rsidRDefault="00A032A4" w:rsidP="002F5248">
            <w:pPr>
              <w:pStyle w:val="a3"/>
            </w:pPr>
            <w:r w:rsidRPr="002F5248">
              <w:rPr>
                <w:szCs w:val="24"/>
              </w:rPr>
              <w:t>Оценка стоимости земельного участка учитывает количественный и качественный состав коммуникаций и возможность присоединения к существующим сетям, в случае если на</w:t>
            </w:r>
            <w:r w:rsidR="002F5248" w:rsidRPr="002F5248">
              <w:rPr>
                <w:szCs w:val="24"/>
              </w:rPr>
              <w:t xml:space="preserve"> </w:t>
            </w:r>
            <w:r w:rsidRPr="002F5248">
              <w:rPr>
                <w:szCs w:val="24"/>
              </w:rPr>
              <w:t>земельном участке планируется строительство объектов недвижимости. Немаловажным фактором при экспертной оценке земельного участка, при условии его застройки и улучшения, являются данные инженерно-геологических и инженерно-геодезических изысканий, позволяющие определить состав, состояние и свойства грунтов и данные о ситуации и рельефе местности,</w:t>
            </w:r>
            <w:r w:rsidRPr="002F5248">
              <w:rPr>
                <w:sz w:val="18"/>
              </w:rPr>
              <w:t xml:space="preserve"> необходимые для прогнозирования возможного строительства а также затрат связанных со строительством на земельных участках.</w:t>
            </w:r>
          </w:p>
        </w:tc>
      </w:tr>
      <w:tr w:rsidR="00A032A4" w:rsidTr="002F5248">
        <w:tblPrEx>
          <w:shd w:val="clear" w:color="auto" w:fill="auto"/>
        </w:tblPrEx>
        <w:trPr>
          <w:trHeight w:val="5645"/>
        </w:trPr>
        <w:tc>
          <w:tcPr>
            <w:tcW w:w="9720" w:type="dxa"/>
            <w:gridSpan w:val="3"/>
            <w:shd w:val="clear" w:color="auto" w:fill="CC99FF"/>
          </w:tcPr>
          <w:p w:rsidR="00A032A4" w:rsidRDefault="00A032A4" w:rsidP="00A032A4">
            <w:pPr>
              <w:pStyle w:val="2"/>
              <w:numPr>
                <w:ilvl w:val="1"/>
                <w:numId w:val="1"/>
              </w:numPr>
              <w:outlineLvl w:val="1"/>
            </w:pPr>
            <w:r w:rsidRPr="00E71AFC">
              <w:lastRenderedPageBreak/>
              <w:t>Порядок</w:t>
            </w:r>
            <w:r w:rsidRPr="008D2483">
              <w:t xml:space="preserve"> </w:t>
            </w:r>
            <w:r w:rsidRPr="00E71AFC">
              <w:t>оспаривания</w:t>
            </w:r>
            <w:r w:rsidRPr="008D2483">
              <w:t xml:space="preserve"> </w:t>
            </w:r>
            <w:r w:rsidRPr="00E71AFC">
              <w:t>кадастровой</w:t>
            </w:r>
            <w:r w:rsidRPr="008D2483">
              <w:t xml:space="preserve"> </w:t>
            </w:r>
            <w:r w:rsidRPr="00E71AFC">
              <w:t>стоимости</w:t>
            </w:r>
            <w:r w:rsidRPr="008D2483">
              <w:t xml:space="preserve">, </w:t>
            </w:r>
            <w:r w:rsidRPr="00E71AFC">
              <w:t>оценка</w:t>
            </w:r>
            <w:r w:rsidRPr="008D2483">
              <w:t xml:space="preserve"> </w:t>
            </w:r>
            <w:r w:rsidRPr="00E71AFC">
              <w:t>для</w:t>
            </w:r>
            <w:r w:rsidRPr="008D2483">
              <w:t xml:space="preserve"> </w:t>
            </w:r>
            <w:r w:rsidRPr="00E71AFC">
              <w:t>оспариван</w:t>
            </w:r>
            <w:r>
              <w:t>и</w:t>
            </w:r>
            <w:r w:rsidRPr="00E71AFC">
              <w:t>я</w:t>
            </w:r>
            <w:r w:rsidRPr="008D2483">
              <w:t xml:space="preserve"> </w:t>
            </w:r>
            <w:r w:rsidRPr="00E71AFC">
              <w:t>кадастровой</w:t>
            </w:r>
            <w:r w:rsidRPr="008D2483">
              <w:t xml:space="preserve"> </w:t>
            </w:r>
            <w:r w:rsidRPr="00E71AFC">
              <w:t>стоимости</w:t>
            </w:r>
            <w:r>
              <w:t xml:space="preserve"> </w:t>
            </w:r>
            <w:r w:rsidRPr="00E71AFC">
              <w:t>земельного</w:t>
            </w:r>
            <w:r w:rsidRPr="008D2483">
              <w:t xml:space="preserve"> </w:t>
            </w:r>
            <w:r w:rsidRPr="00E71AFC">
              <w:t>участка</w:t>
            </w:r>
          </w:p>
          <w:p w:rsidR="00A032A4" w:rsidRDefault="00A032A4" w:rsidP="00B57572">
            <w:r w:rsidRPr="00E71AFC">
              <w:t xml:space="preserve">В настоящий момент у землепользователей часто складывается ситуация, при которой кадастровая стоимость участков земли, которыми они </w:t>
            </w:r>
            <w:proofErr w:type="gramStart"/>
            <w:r w:rsidRPr="00E71AFC">
              <w:t>владеют в несколько раз превышает</w:t>
            </w:r>
            <w:proofErr w:type="gramEnd"/>
            <w:r w:rsidRPr="00E71AFC">
              <w:t xml:space="preserve"> их рыночную стоимость. Такое положение дел невыгодно собственнику и хорошим вариантом для него будет снижение кадастровой стоимости земельного участка.</w:t>
            </w:r>
          </w:p>
          <w:p w:rsidR="00A032A4" w:rsidRPr="00E71AFC" w:rsidRDefault="00A032A4" w:rsidP="00B57572">
            <w:pPr>
              <w:rPr>
                <w:b/>
                <w:i/>
              </w:rPr>
            </w:pPr>
            <w:r w:rsidRPr="00E71AFC">
              <w:rPr>
                <w:b/>
                <w:i/>
              </w:rPr>
              <w:t>Таблица 3.1.</w:t>
            </w:r>
          </w:p>
          <w:tbl>
            <w:tblPr>
              <w:tblStyle w:val="1Total"/>
              <w:tblW w:w="4905" w:type="pct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7"/>
              <w:gridCol w:w="2329"/>
              <w:gridCol w:w="2329"/>
              <w:gridCol w:w="2329"/>
            </w:tblGrid>
            <w:tr w:rsidR="00A032A4" w:rsidRPr="00E71AFC" w:rsidTr="00D55D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"/>
              </w:trPr>
              <w:tc>
                <w:tcPr>
                  <w:tcW w:w="22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A032A4" w:rsidRPr="00E71AFC" w:rsidRDefault="00A032A4" w:rsidP="00B57572">
                  <w:pPr>
                    <w:pStyle w:val="Total"/>
                  </w:pPr>
                </w:p>
              </w:tc>
              <w:tc>
                <w:tcPr>
                  <w:tcW w:w="22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A032A4" w:rsidRPr="00E71AFC" w:rsidRDefault="00A032A4" w:rsidP="00B57572">
                  <w:pPr>
                    <w:pStyle w:val="Total"/>
                  </w:pPr>
                  <w:r w:rsidRPr="00E71AFC">
                    <w:t>Москва</w:t>
                  </w:r>
                </w:p>
              </w:tc>
              <w:tc>
                <w:tcPr>
                  <w:tcW w:w="22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A032A4" w:rsidRPr="00E71AFC" w:rsidRDefault="00A032A4" w:rsidP="00B57572">
                  <w:pPr>
                    <w:pStyle w:val="Total"/>
                  </w:pPr>
                  <w:r w:rsidRPr="00E71AFC">
                    <w:t>Московская обл.</w:t>
                  </w:r>
                </w:p>
              </w:tc>
              <w:tc>
                <w:tcPr>
                  <w:tcW w:w="22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A032A4" w:rsidRPr="00E71AFC" w:rsidRDefault="00A032A4" w:rsidP="00B57572">
                  <w:pPr>
                    <w:pStyle w:val="Total"/>
                  </w:pPr>
                  <w:r w:rsidRPr="00E71AFC">
                    <w:t>Регионы</w:t>
                  </w:r>
                </w:p>
              </w:tc>
            </w:tr>
            <w:tr w:rsidR="00A032A4" w:rsidRPr="00E71AFC" w:rsidTr="00D55DFF">
              <w:trPr>
                <w:trHeight w:val="23"/>
              </w:trPr>
              <w:tc>
                <w:tcPr>
                  <w:tcW w:w="2291" w:type="dxa"/>
                  <w:shd w:val="clear" w:color="auto" w:fill="FFFFFF"/>
                </w:tcPr>
                <w:p w:rsidR="00A032A4" w:rsidRPr="008D2483" w:rsidRDefault="00A032A4" w:rsidP="00B57572">
                  <w:pPr>
                    <w:pStyle w:val="Total"/>
                  </w:pPr>
                  <w:r w:rsidRPr="008D2483">
                    <w:t>Стоимость оценки  одного земельного участка для целей оспаривания кадастровой стоимости, руб.</w:t>
                  </w:r>
                </w:p>
              </w:tc>
              <w:tc>
                <w:tcPr>
                  <w:tcW w:w="2292" w:type="dxa"/>
                  <w:shd w:val="clear" w:color="auto" w:fill="FFFFFF"/>
                </w:tcPr>
                <w:p w:rsidR="00A032A4" w:rsidRPr="008D2483" w:rsidRDefault="00A032A4" w:rsidP="00B57572">
                  <w:pPr>
                    <w:pStyle w:val="Total"/>
                  </w:pPr>
                  <w:r w:rsidRPr="008D2483">
                    <w:t>От 65 000</w:t>
                  </w:r>
                </w:p>
              </w:tc>
              <w:tc>
                <w:tcPr>
                  <w:tcW w:w="2292" w:type="dxa"/>
                  <w:shd w:val="clear" w:color="auto" w:fill="FFFFFF"/>
                </w:tcPr>
                <w:p w:rsidR="00A032A4" w:rsidRPr="008D2483" w:rsidRDefault="00A032A4" w:rsidP="00B57572">
                  <w:pPr>
                    <w:pStyle w:val="Total"/>
                  </w:pPr>
                  <w:r w:rsidRPr="008D2483">
                    <w:t>От 55 000</w:t>
                  </w:r>
                </w:p>
              </w:tc>
              <w:tc>
                <w:tcPr>
                  <w:tcW w:w="2292" w:type="dxa"/>
                  <w:shd w:val="clear" w:color="auto" w:fill="FFFFFF"/>
                </w:tcPr>
                <w:p w:rsidR="00A032A4" w:rsidRPr="008D2483" w:rsidRDefault="00A032A4" w:rsidP="00B57572">
                  <w:pPr>
                    <w:pStyle w:val="Total"/>
                  </w:pPr>
                  <w:r w:rsidRPr="008D2483">
                    <w:t>От 55 000</w:t>
                  </w:r>
                </w:p>
              </w:tc>
            </w:tr>
            <w:tr w:rsidR="00A032A4" w:rsidRPr="00E71AFC" w:rsidTr="00D55DFF">
              <w:trPr>
                <w:trHeight w:val="23"/>
              </w:trPr>
              <w:tc>
                <w:tcPr>
                  <w:tcW w:w="2291" w:type="dxa"/>
                  <w:shd w:val="clear" w:color="auto" w:fill="FFFFFF"/>
                </w:tcPr>
                <w:p w:rsidR="00A032A4" w:rsidRPr="008D2483" w:rsidRDefault="00A032A4" w:rsidP="00B57572">
                  <w:pPr>
                    <w:pStyle w:val="Total"/>
                  </w:pPr>
                  <w:r w:rsidRPr="008D2483">
                    <w:t xml:space="preserve">Сроки, </w:t>
                  </w:r>
                  <w:proofErr w:type="spellStart"/>
                  <w:r w:rsidRPr="008D2483">
                    <w:t>раб</w:t>
                  </w:r>
                  <w:proofErr w:type="gramStart"/>
                  <w:r w:rsidRPr="008D2483">
                    <w:t>.д</w:t>
                  </w:r>
                  <w:proofErr w:type="gramEnd"/>
                  <w:r w:rsidRPr="008D2483">
                    <w:t>н</w:t>
                  </w:r>
                  <w:proofErr w:type="spellEnd"/>
                </w:p>
              </w:tc>
              <w:tc>
                <w:tcPr>
                  <w:tcW w:w="6876" w:type="dxa"/>
                  <w:gridSpan w:val="3"/>
                  <w:shd w:val="clear" w:color="auto" w:fill="FFFFFF"/>
                </w:tcPr>
                <w:p w:rsidR="00A032A4" w:rsidRPr="008D2483" w:rsidRDefault="00A032A4" w:rsidP="00B57572">
                  <w:pPr>
                    <w:pStyle w:val="Total"/>
                  </w:pPr>
                  <w:r w:rsidRPr="008D2483">
                    <w:t xml:space="preserve">От 10 </w:t>
                  </w:r>
                  <w:proofErr w:type="spellStart"/>
                  <w:r w:rsidRPr="008D2483">
                    <w:t>дн</w:t>
                  </w:r>
                  <w:proofErr w:type="spellEnd"/>
                </w:p>
              </w:tc>
            </w:tr>
          </w:tbl>
          <w:p w:rsidR="00A032A4" w:rsidRDefault="00A032A4" w:rsidP="002F5248">
            <w:pPr>
              <w:pStyle w:val="5"/>
              <w:outlineLvl w:val="4"/>
            </w:pPr>
            <w:r>
              <w:t>Порядок оспаривания кадастровой стоимости земельных участков</w:t>
            </w:r>
          </w:p>
          <w:p w:rsidR="00A032A4" w:rsidRDefault="00A032A4" w:rsidP="002F5248">
            <w:pPr>
              <w:pStyle w:val="a3"/>
            </w:pPr>
            <w:r>
              <w:t>Весь процесс по оспариванию кадастровой стоимости мы рекомендуем разделить на следующие этапы:</w:t>
            </w:r>
          </w:p>
          <w:p w:rsidR="00A032A4" w:rsidRDefault="00A032A4" w:rsidP="002F5248">
            <w:pPr>
              <w:pStyle w:val="a3"/>
            </w:pPr>
            <w:r>
              <w:t>1.  Проведение предварительного анализа возможности и целесообразности этого процесса</w:t>
            </w:r>
          </w:p>
          <w:p w:rsidR="00A032A4" w:rsidRDefault="00A032A4" w:rsidP="002F5248">
            <w:pPr>
              <w:pStyle w:val="a3"/>
            </w:pPr>
            <w:r>
              <w:t>2.  Проведение оценки рыночной стоимости земельного участка</w:t>
            </w:r>
          </w:p>
          <w:p w:rsidR="00A032A4" w:rsidRDefault="00A032A4" w:rsidP="002F5248">
            <w:pPr>
              <w:pStyle w:val="a3"/>
            </w:pPr>
            <w:r>
              <w:t>3.  Прохождение экспертизы отчета об оценке в саморегулируемой организации оценщиков (CPO)</w:t>
            </w:r>
          </w:p>
          <w:p w:rsidR="00A032A4" w:rsidRDefault="00A032A4" w:rsidP="002F5248">
            <w:pPr>
              <w:pStyle w:val="a3"/>
            </w:pPr>
            <w:r>
              <w:t>4.  Оспаривание кадастровой стоимости через суд или в комиссии субъектов федерации (Обратите внимание, если Вы нуждаетесь в юридическом сопровождении вашего дела в суде об оспаривании кадастровой стоимости, мы можем посоветовать вам грамотного адвоката.)</w:t>
            </w:r>
          </w:p>
          <w:p w:rsidR="00A032A4" w:rsidRDefault="00A032A4" w:rsidP="002F5248">
            <w:pPr>
              <w:pStyle w:val="a3"/>
            </w:pPr>
            <w:r>
              <w:t>5.  Уведомление органов местного самоуправления и территориальной налоговой инспекции об изменении кадастровой стоимости земельного участка</w:t>
            </w:r>
          </w:p>
          <w:p w:rsidR="00A032A4" w:rsidRPr="00E71AFC" w:rsidRDefault="00A032A4" w:rsidP="002F5248"/>
        </w:tc>
      </w:tr>
      <w:tr w:rsidR="00A032A4" w:rsidTr="002F5248">
        <w:trPr>
          <w:gridBefore w:val="1"/>
          <w:gridAfter w:val="1"/>
          <w:wBefore w:w="72" w:type="dxa"/>
          <w:wAfter w:w="77" w:type="dxa"/>
        </w:trPr>
        <w:tc>
          <w:tcPr>
            <w:tcW w:w="9571" w:type="dxa"/>
            <w:shd w:val="clear" w:color="auto" w:fill="CC99FF"/>
          </w:tcPr>
          <w:p w:rsidR="00A032A4" w:rsidRDefault="00A032A4" w:rsidP="002F5248">
            <w:pPr>
              <w:pStyle w:val="5"/>
              <w:outlineLvl w:val="4"/>
            </w:pPr>
            <w:r w:rsidRPr="00E71AFC">
              <w:lastRenderedPageBreak/>
              <w:t>Документы, необходимые для проведения оценки</w:t>
            </w:r>
          </w:p>
          <w:p w:rsidR="00A032A4" w:rsidRPr="008D2483" w:rsidRDefault="00A032A4" w:rsidP="002F5248">
            <w:pPr>
              <w:pStyle w:val="5"/>
              <w:outlineLvl w:val="4"/>
            </w:pPr>
            <w:r w:rsidRPr="008D2483">
              <w:t xml:space="preserve">ВАРИАНТ 1. </w:t>
            </w:r>
          </w:p>
          <w:p w:rsidR="00A032A4" w:rsidRPr="008D2483" w:rsidRDefault="00A032A4" w:rsidP="00B57572">
            <w:pPr>
              <w:rPr>
                <w:b/>
              </w:rPr>
            </w:pPr>
            <w:r w:rsidRPr="008D2483">
              <w:rPr>
                <w:b/>
              </w:rPr>
              <w:t xml:space="preserve">Оценивается земельный участок без построек. В этом случае необходимо </w:t>
            </w:r>
            <w:proofErr w:type="gramStart"/>
            <w:r w:rsidRPr="008D2483">
              <w:rPr>
                <w:b/>
              </w:rPr>
              <w:t>предоставить документы</w:t>
            </w:r>
            <w:proofErr w:type="gramEnd"/>
            <w:r w:rsidRPr="008D2483">
              <w:rPr>
                <w:b/>
              </w:rPr>
              <w:t xml:space="preserve"> в соответствии со следующим перечнем:</w:t>
            </w:r>
          </w:p>
          <w:p w:rsidR="00A032A4" w:rsidRDefault="00A032A4" w:rsidP="002F5248">
            <w:pPr>
              <w:pStyle w:val="a3"/>
            </w:pPr>
            <w:r>
              <w:t>1.  Правоустанавливающие документы: Свидетельство о собственности на землю/договор аренды земельного участка с приложениями</w:t>
            </w:r>
          </w:p>
          <w:p w:rsidR="00A032A4" w:rsidRDefault="00A032A4" w:rsidP="002F5248">
            <w:pPr>
              <w:pStyle w:val="a3"/>
            </w:pPr>
            <w:r>
              <w:t>2.  Кадастровый паспорт с ситуационным планом</w:t>
            </w:r>
          </w:p>
          <w:p w:rsidR="00A032A4" w:rsidRDefault="00A032A4" w:rsidP="002F5248">
            <w:pPr>
              <w:pStyle w:val="a3"/>
            </w:pPr>
            <w:r>
              <w:t xml:space="preserve">3.   В случае если участок находится в собственности, необходимо </w:t>
            </w:r>
            <w:proofErr w:type="gramStart"/>
            <w:r>
              <w:t>предоставить справку</w:t>
            </w:r>
            <w:proofErr w:type="gramEnd"/>
            <w:r>
              <w:t xml:space="preserve"> о первоначальной балансовой и остаточной стоимости с указание даты постановки на бухгалтерский учет</w:t>
            </w:r>
          </w:p>
          <w:p w:rsidR="00A032A4" w:rsidRDefault="00A032A4" w:rsidP="002F5248">
            <w:pPr>
              <w:pStyle w:val="5"/>
              <w:outlineLvl w:val="4"/>
            </w:pPr>
            <w:r>
              <w:t xml:space="preserve">ВАРИАНТ 2. </w:t>
            </w:r>
          </w:p>
          <w:p w:rsidR="00A032A4" w:rsidRPr="008D2483" w:rsidRDefault="00A032A4" w:rsidP="00B57572">
            <w:pPr>
              <w:rPr>
                <w:b/>
              </w:rPr>
            </w:pPr>
            <w:r w:rsidRPr="008D2483">
              <w:rPr>
                <w:b/>
              </w:rPr>
              <w:t xml:space="preserve">Оценивается земельный участок, на котором есть строения. В этом случае необходимо </w:t>
            </w:r>
            <w:proofErr w:type="gramStart"/>
            <w:r w:rsidRPr="008D2483">
              <w:rPr>
                <w:b/>
              </w:rPr>
              <w:t>предоставить документы</w:t>
            </w:r>
            <w:proofErr w:type="gramEnd"/>
            <w:r w:rsidRPr="008D2483">
              <w:rPr>
                <w:b/>
              </w:rPr>
              <w:t xml:space="preserve"> в соответствии со следующим перечнем:</w:t>
            </w:r>
          </w:p>
          <w:p w:rsidR="00A032A4" w:rsidRDefault="00A032A4" w:rsidP="002F5248">
            <w:pPr>
              <w:pStyle w:val="a3"/>
            </w:pPr>
            <w:r>
              <w:t>1.  Правоустанавливающие документы: Свидетельство о собственности на землю/договор аренды земельного участка с приложениями</w:t>
            </w:r>
          </w:p>
          <w:p w:rsidR="00A032A4" w:rsidRDefault="00A032A4" w:rsidP="002F5248">
            <w:pPr>
              <w:pStyle w:val="a3"/>
            </w:pPr>
            <w:r>
              <w:t>2.  Кадастровый паспорт с ситуационным планом</w:t>
            </w:r>
          </w:p>
          <w:p w:rsidR="00A032A4" w:rsidRDefault="00A032A4" w:rsidP="002F5248">
            <w:pPr>
              <w:pStyle w:val="a3"/>
            </w:pPr>
            <w:r>
              <w:t xml:space="preserve">3.   В случае если участок находится в собственности, необходимо </w:t>
            </w:r>
            <w:proofErr w:type="gramStart"/>
            <w:r>
              <w:t>предоставить справку</w:t>
            </w:r>
            <w:proofErr w:type="gramEnd"/>
            <w:r>
              <w:t xml:space="preserve"> о первоначальной балансовой и остаточной стоимости с указание даты постановки на бухгалтерский учет</w:t>
            </w:r>
          </w:p>
          <w:p w:rsidR="00A032A4" w:rsidRDefault="00A032A4" w:rsidP="002F5248">
            <w:pPr>
              <w:pStyle w:val="a3"/>
            </w:pPr>
            <w:r>
              <w:t>4.  Правоустанавливающие документы на строения: Свидетельство о собственности, договор купли-продажи</w:t>
            </w:r>
          </w:p>
          <w:p w:rsidR="00A032A4" w:rsidRDefault="00A032A4" w:rsidP="002F5248">
            <w:pPr>
              <w:pStyle w:val="a3"/>
            </w:pPr>
            <w:r>
              <w:t>5 Технические паспорта на строения</w:t>
            </w:r>
          </w:p>
          <w:p w:rsidR="00A032A4" w:rsidRDefault="00A032A4" w:rsidP="00B57572">
            <w:r>
              <w:t>Обратите внимание! Все документы должны быть предоставлены в копиях, заверенных надлежащим образом организацией заказчиком</w:t>
            </w:r>
          </w:p>
        </w:tc>
      </w:tr>
    </w:tbl>
    <w:p w:rsidR="00A032A4" w:rsidRPr="00E5415E" w:rsidRDefault="00A032A4" w:rsidP="00A032A4"/>
    <w:p w:rsidR="00BE37CD" w:rsidRDefault="00BE37CD"/>
    <w:sectPr w:rsidR="00BE37CD" w:rsidSect="002F52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1E" w:rsidRDefault="00E6581E" w:rsidP="00D55DFF">
      <w:r>
        <w:separator/>
      </w:r>
    </w:p>
  </w:endnote>
  <w:endnote w:type="continuationSeparator" w:id="0">
    <w:p w:rsidR="00E6581E" w:rsidRDefault="00E6581E" w:rsidP="00D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1E" w:rsidRDefault="00E6581E" w:rsidP="00D55DFF">
      <w:r>
        <w:separator/>
      </w:r>
    </w:p>
  </w:footnote>
  <w:footnote w:type="continuationSeparator" w:id="0">
    <w:p w:rsidR="00E6581E" w:rsidRDefault="00E6581E" w:rsidP="00D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099"/>
    <w:multiLevelType w:val="multilevel"/>
    <w:tmpl w:val="D3FC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4"/>
    <w:rsid w:val="002F5248"/>
    <w:rsid w:val="00A032A4"/>
    <w:rsid w:val="00BE37CD"/>
    <w:rsid w:val="00D55DFF"/>
    <w:rsid w:val="00E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Total"/>
    <w:basedOn w:val="a"/>
    <w:next w:val="a"/>
    <w:link w:val="10"/>
    <w:autoRedefine/>
    <w:qFormat/>
    <w:rsid w:val="00A032A4"/>
    <w:pPr>
      <w:keepLines/>
      <w:pageBreakBefore/>
      <w:tabs>
        <w:tab w:val="left" w:pos="902"/>
      </w:tabs>
      <w:spacing w:before="240" w:after="480"/>
      <w:ind w:left="720"/>
      <w:jc w:val="center"/>
      <w:outlineLvl w:val="0"/>
    </w:pPr>
    <w:rPr>
      <w:rFonts w:ascii="Bookman Old Style" w:hAnsi="Bookman Old Style" w:cs="Arial"/>
      <w:b/>
      <w:caps/>
      <w:color w:val="000099"/>
      <w:kern w:val="26"/>
      <w:sz w:val="26"/>
      <w:szCs w:val="26"/>
      <w:lang w:val="en-US"/>
    </w:rPr>
  </w:style>
  <w:style w:type="paragraph" w:styleId="2">
    <w:name w:val="heading 2"/>
    <w:aliases w:val="2 Total"/>
    <w:basedOn w:val="a"/>
    <w:next w:val="a"/>
    <w:link w:val="20"/>
    <w:autoRedefine/>
    <w:qFormat/>
    <w:rsid w:val="00A032A4"/>
    <w:pPr>
      <w:keepNext/>
      <w:keepLines/>
      <w:tabs>
        <w:tab w:val="left" w:pos="900"/>
        <w:tab w:val="left" w:pos="1080"/>
      </w:tabs>
      <w:spacing w:before="480" w:after="360"/>
      <w:outlineLvl w:val="1"/>
    </w:pPr>
    <w:rPr>
      <w:rFonts w:ascii="Bookman Old Style" w:hAnsi="Bookman Old Style"/>
      <w:b/>
      <w:bCs/>
      <w:iCs/>
      <w:smallCaps/>
      <w:color w:val="000099"/>
      <w:kern w:val="28"/>
      <w:sz w:val="26"/>
      <w:szCs w:val="26"/>
    </w:rPr>
  </w:style>
  <w:style w:type="paragraph" w:styleId="5">
    <w:name w:val="heading 5"/>
    <w:aliases w:val="5 Total"/>
    <w:basedOn w:val="a"/>
    <w:next w:val="a"/>
    <w:link w:val="50"/>
    <w:autoRedefine/>
    <w:qFormat/>
    <w:rsid w:val="002F5248"/>
    <w:pPr>
      <w:keepNext/>
      <w:keepLines/>
      <w:pageBreakBefore/>
      <w:spacing w:before="360" w:after="240"/>
      <w:ind w:left="567"/>
      <w:outlineLvl w:val="4"/>
    </w:pPr>
    <w:rPr>
      <w:rFonts w:ascii="Bookman Old Style" w:hAnsi="Bookman Old Style"/>
      <w:b/>
      <w:color w:val="00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Total Знак"/>
    <w:basedOn w:val="a0"/>
    <w:link w:val="1"/>
    <w:rsid w:val="00A032A4"/>
    <w:rPr>
      <w:rFonts w:ascii="Bookman Old Style" w:eastAsia="Times New Roman" w:hAnsi="Bookman Old Style" w:cs="Arial"/>
      <w:b/>
      <w:caps/>
      <w:color w:val="000099"/>
      <w:kern w:val="26"/>
      <w:sz w:val="26"/>
      <w:szCs w:val="26"/>
      <w:lang w:val="en-US" w:eastAsia="ru-RU"/>
    </w:rPr>
  </w:style>
  <w:style w:type="character" w:customStyle="1" w:styleId="20">
    <w:name w:val="Заголовок 2 Знак"/>
    <w:aliases w:val="2 Total Знак"/>
    <w:basedOn w:val="a0"/>
    <w:link w:val="2"/>
    <w:rsid w:val="00A032A4"/>
    <w:rPr>
      <w:rFonts w:ascii="Bookman Old Style" w:eastAsia="Times New Roman" w:hAnsi="Bookman Old Style" w:cs="Times New Roman"/>
      <w:b/>
      <w:bCs/>
      <w:iCs/>
      <w:smallCaps/>
      <w:color w:val="000099"/>
      <w:kern w:val="28"/>
      <w:sz w:val="26"/>
      <w:szCs w:val="26"/>
      <w:lang w:eastAsia="ru-RU"/>
    </w:rPr>
  </w:style>
  <w:style w:type="character" w:customStyle="1" w:styleId="50">
    <w:name w:val="Заголовок 5 Знак"/>
    <w:aliases w:val="5 Total Знак"/>
    <w:basedOn w:val="a0"/>
    <w:link w:val="5"/>
    <w:rsid w:val="002F5248"/>
    <w:rPr>
      <w:rFonts w:ascii="Bookman Old Style" w:eastAsia="Times New Roman" w:hAnsi="Bookman Old Style" w:cs="Times New Roman"/>
      <w:b/>
      <w:color w:val="000099"/>
      <w:sz w:val="24"/>
      <w:szCs w:val="24"/>
      <w:lang w:eastAsia="ru-RU"/>
    </w:rPr>
  </w:style>
  <w:style w:type="paragraph" w:customStyle="1" w:styleId="a3">
    <w:name w:val="Выводы тотал +"/>
    <w:basedOn w:val="a"/>
    <w:autoRedefine/>
    <w:rsid w:val="002F5248"/>
    <w:pPr>
      <w:pBdr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Bdr>
      <w:shd w:val="clear" w:color="auto" w:fill="EAEAEA"/>
      <w:spacing w:before="120" w:after="120"/>
      <w:ind w:left="113" w:right="113"/>
      <w:jc w:val="both"/>
    </w:pPr>
    <w:rPr>
      <w:rFonts w:cs="Arial"/>
      <w:color w:val="000099"/>
      <w:szCs w:val="18"/>
    </w:rPr>
  </w:style>
  <w:style w:type="table" w:customStyle="1" w:styleId="1Total">
    <w:name w:val="Таблица 1 Total"/>
    <w:basedOn w:val="a1"/>
    <w:rsid w:val="00A032A4"/>
    <w:pPr>
      <w:keepLines/>
      <w:spacing w:before="40" w:after="40" w:line="240" w:lineRule="auto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nil"/>
      <w:tblBorders>
        <w:top w:val="single" w:sz="12" w:space="0" w:color="C0C0C0"/>
        <w:left w:val="single" w:sz="4" w:space="0" w:color="C0C0C0"/>
        <w:bottom w:val="single" w:sz="12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cantSplit/>
      <w:jc w:val="center"/>
    </w:trPr>
    <w:tcPr>
      <w:vAlign w:val="center"/>
    </w:tcPr>
    <w:tblStylePr w:type="firstRow">
      <w:pPr>
        <w:keepNext/>
        <w:keepLines/>
        <w:widowControl/>
        <w:wordWrap/>
        <w:spacing w:beforeLines="0" w:before="40" w:beforeAutospacing="0" w:afterLines="0" w:after="40" w:afterAutospacing="0" w:line="240" w:lineRule="auto"/>
        <w:ind w:leftChars="0" w:left="-57" w:rightChars="0" w:right="-57" w:firstLineChars="0" w:firstLine="0"/>
        <w:contextualSpacing/>
      </w:pPr>
      <w:rPr>
        <w:rFonts w:ascii="Times New Roman" w:hAnsi="Times New Roman"/>
        <w:b/>
        <w:color w:val="000099"/>
        <w:sz w:val="20"/>
        <w:szCs w:val="20"/>
      </w:rPr>
      <w:tblPr/>
      <w:trPr>
        <w:tblHeader/>
      </w:trPr>
      <w:tcPr>
        <w:tcBorders>
          <w:top w:val="single" w:sz="12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auto" w:fill="EAEAEA"/>
      </w:tcPr>
    </w:tblStylePr>
  </w:style>
  <w:style w:type="paragraph" w:customStyle="1" w:styleId="Total">
    <w:name w:val="Текст в таблице Total"/>
    <w:basedOn w:val="a"/>
    <w:autoRedefine/>
    <w:rsid w:val="00A032A4"/>
    <w:pPr>
      <w:keepNext/>
      <w:keepLines/>
      <w:spacing w:before="40" w:after="40"/>
      <w:ind w:left="-57" w:right="-57"/>
      <w:contextualSpacing/>
      <w:jc w:val="center"/>
    </w:pPr>
    <w:rPr>
      <w:sz w:val="20"/>
      <w:szCs w:val="20"/>
    </w:rPr>
  </w:style>
  <w:style w:type="table" w:styleId="a4">
    <w:name w:val="Table Grid"/>
    <w:basedOn w:val="a1"/>
    <w:rsid w:val="00A0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Total"/>
    <w:basedOn w:val="a"/>
    <w:next w:val="a"/>
    <w:link w:val="10"/>
    <w:autoRedefine/>
    <w:qFormat/>
    <w:rsid w:val="00A032A4"/>
    <w:pPr>
      <w:keepLines/>
      <w:pageBreakBefore/>
      <w:tabs>
        <w:tab w:val="left" w:pos="902"/>
      </w:tabs>
      <w:spacing w:before="240" w:after="480"/>
      <w:ind w:left="720"/>
      <w:jc w:val="center"/>
      <w:outlineLvl w:val="0"/>
    </w:pPr>
    <w:rPr>
      <w:rFonts w:ascii="Bookman Old Style" w:hAnsi="Bookman Old Style" w:cs="Arial"/>
      <w:b/>
      <w:caps/>
      <w:color w:val="000099"/>
      <w:kern w:val="26"/>
      <w:sz w:val="26"/>
      <w:szCs w:val="26"/>
      <w:lang w:val="en-US"/>
    </w:rPr>
  </w:style>
  <w:style w:type="paragraph" w:styleId="2">
    <w:name w:val="heading 2"/>
    <w:aliases w:val="2 Total"/>
    <w:basedOn w:val="a"/>
    <w:next w:val="a"/>
    <w:link w:val="20"/>
    <w:autoRedefine/>
    <w:qFormat/>
    <w:rsid w:val="00A032A4"/>
    <w:pPr>
      <w:keepNext/>
      <w:keepLines/>
      <w:tabs>
        <w:tab w:val="left" w:pos="900"/>
        <w:tab w:val="left" w:pos="1080"/>
      </w:tabs>
      <w:spacing w:before="480" w:after="360"/>
      <w:outlineLvl w:val="1"/>
    </w:pPr>
    <w:rPr>
      <w:rFonts w:ascii="Bookman Old Style" w:hAnsi="Bookman Old Style"/>
      <w:b/>
      <w:bCs/>
      <w:iCs/>
      <w:smallCaps/>
      <w:color w:val="000099"/>
      <w:kern w:val="28"/>
      <w:sz w:val="26"/>
      <w:szCs w:val="26"/>
    </w:rPr>
  </w:style>
  <w:style w:type="paragraph" w:styleId="5">
    <w:name w:val="heading 5"/>
    <w:aliases w:val="5 Total"/>
    <w:basedOn w:val="a"/>
    <w:next w:val="a"/>
    <w:link w:val="50"/>
    <w:autoRedefine/>
    <w:qFormat/>
    <w:rsid w:val="002F5248"/>
    <w:pPr>
      <w:keepNext/>
      <w:keepLines/>
      <w:pageBreakBefore/>
      <w:spacing w:before="360" w:after="240"/>
      <w:ind w:left="567"/>
      <w:outlineLvl w:val="4"/>
    </w:pPr>
    <w:rPr>
      <w:rFonts w:ascii="Bookman Old Style" w:hAnsi="Bookman Old Style"/>
      <w:b/>
      <w:color w:val="00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Total Знак"/>
    <w:basedOn w:val="a0"/>
    <w:link w:val="1"/>
    <w:rsid w:val="00A032A4"/>
    <w:rPr>
      <w:rFonts w:ascii="Bookman Old Style" w:eastAsia="Times New Roman" w:hAnsi="Bookman Old Style" w:cs="Arial"/>
      <w:b/>
      <w:caps/>
      <w:color w:val="000099"/>
      <w:kern w:val="26"/>
      <w:sz w:val="26"/>
      <w:szCs w:val="26"/>
      <w:lang w:val="en-US" w:eastAsia="ru-RU"/>
    </w:rPr>
  </w:style>
  <w:style w:type="character" w:customStyle="1" w:styleId="20">
    <w:name w:val="Заголовок 2 Знак"/>
    <w:aliases w:val="2 Total Знак"/>
    <w:basedOn w:val="a0"/>
    <w:link w:val="2"/>
    <w:rsid w:val="00A032A4"/>
    <w:rPr>
      <w:rFonts w:ascii="Bookman Old Style" w:eastAsia="Times New Roman" w:hAnsi="Bookman Old Style" w:cs="Times New Roman"/>
      <w:b/>
      <w:bCs/>
      <w:iCs/>
      <w:smallCaps/>
      <w:color w:val="000099"/>
      <w:kern w:val="28"/>
      <w:sz w:val="26"/>
      <w:szCs w:val="26"/>
      <w:lang w:eastAsia="ru-RU"/>
    </w:rPr>
  </w:style>
  <w:style w:type="character" w:customStyle="1" w:styleId="50">
    <w:name w:val="Заголовок 5 Знак"/>
    <w:aliases w:val="5 Total Знак"/>
    <w:basedOn w:val="a0"/>
    <w:link w:val="5"/>
    <w:rsid w:val="002F5248"/>
    <w:rPr>
      <w:rFonts w:ascii="Bookman Old Style" w:eastAsia="Times New Roman" w:hAnsi="Bookman Old Style" w:cs="Times New Roman"/>
      <w:b/>
      <w:color w:val="000099"/>
      <w:sz w:val="24"/>
      <w:szCs w:val="24"/>
      <w:lang w:eastAsia="ru-RU"/>
    </w:rPr>
  </w:style>
  <w:style w:type="paragraph" w:customStyle="1" w:styleId="a3">
    <w:name w:val="Выводы тотал +"/>
    <w:basedOn w:val="a"/>
    <w:autoRedefine/>
    <w:rsid w:val="002F5248"/>
    <w:pPr>
      <w:pBdr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Bdr>
      <w:shd w:val="clear" w:color="auto" w:fill="EAEAEA"/>
      <w:spacing w:before="120" w:after="120"/>
      <w:ind w:left="113" w:right="113"/>
      <w:jc w:val="both"/>
    </w:pPr>
    <w:rPr>
      <w:rFonts w:cs="Arial"/>
      <w:color w:val="000099"/>
      <w:szCs w:val="18"/>
    </w:rPr>
  </w:style>
  <w:style w:type="table" w:customStyle="1" w:styleId="1Total">
    <w:name w:val="Таблица 1 Total"/>
    <w:basedOn w:val="a1"/>
    <w:rsid w:val="00A032A4"/>
    <w:pPr>
      <w:keepLines/>
      <w:spacing w:before="40" w:after="40" w:line="240" w:lineRule="auto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nil"/>
      <w:tblBorders>
        <w:top w:val="single" w:sz="12" w:space="0" w:color="C0C0C0"/>
        <w:left w:val="single" w:sz="4" w:space="0" w:color="C0C0C0"/>
        <w:bottom w:val="single" w:sz="12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cantSplit/>
      <w:jc w:val="center"/>
    </w:trPr>
    <w:tcPr>
      <w:vAlign w:val="center"/>
    </w:tcPr>
    <w:tblStylePr w:type="firstRow">
      <w:pPr>
        <w:keepNext/>
        <w:keepLines/>
        <w:widowControl/>
        <w:wordWrap/>
        <w:spacing w:beforeLines="0" w:before="40" w:beforeAutospacing="0" w:afterLines="0" w:after="40" w:afterAutospacing="0" w:line="240" w:lineRule="auto"/>
        <w:ind w:leftChars="0" w:left="-57" w:rightChars="0" w:right="-57" w:firstLineChars="0" w:firstLine="0"/>
        <w:contextualSpacing/>
      </w:pPr>
      <w:rPr>
        <w:rFonts w:ascii="Times New Roman" w:hAnsi="Times New Roman"/>
        <w:b/>
        <w:color w:val="000099"/>
        <w:sz w:val="20"/>
        <w:szCs w:val="20"/>
      </w:rPr>
      <w:tblPr/>
      <w:trPr>
        <w:tblHeader/>
      </w:trPr>
      <w:tcPr>
        <w:tcBorders>
          <w:top w:val="single" w:sz="12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auto" w:fill="EAEAEA"/>
      </w:tcPr>
    </w:tblStylePr>
  </w:style>
  <w:style w:type="paragraph" w:customStyle="1" w:styleId="Total">
    <w:name w:val="Текст в таблице Total"/>
    <w:basedOn w:val="a"/>
    <w:autoRedefine/>
    <w:rsid w:val="00A032A4"/>
    <w:pPr>
      <w:keepNext/>
      <w:keepLines/>
      <w:spacing w:before="40" w:after="40"/>
      <w:ind w:left="-57" w:right="-57"/>
      <w:contextualSpacing/>
      <w:jc w:val="center"/>
    </w:pPr>
    <w:rPr>
      <w:sz w:val="20"/>
      <w:szCs w:val="20"/>
    </w:rPr>
  </w:style>
  <w:style w:type="table" w:styleId="a4">
    <w:name w:val="Table Grid"/>
    <w:basedOn w:val="a1"/>
    <w:rsid w:val="00A0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2019-02-11T14:47:00Z</dcterms:created>
  <dcterms:modified xsi:type="dcterms:W3CDTF">2019-02-11T15:44:00Z</dcterms:modified>
</cp:coreProperties>
</file>